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5A2393">
        <w:tc>
          <w:tcPr>
            <w:tcW w:w="3960" w:type="dxa"/>
          </w:tcPr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B7016" wp14:editId="70E7A2CD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5A239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F61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2017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690B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1601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F701F2">
      <w:pPr>
        <w:ind w:left="1560"/>
      </w:pPr>
    </w:p>
    <w:p w:rsidR="00890F00" w:rsidRDefault="00E65E73" w:rsidP="00E65E73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890F00">
        <w:rPr>
          <w:rFonts w:ascii="Times New Roman" w:hAnsi="Times New Roman" w:cs="Times New Roman"/>
          <w:sz w:val="26"/>
          <w:szCs w:val="26"/>
        </w:rPr>
        <w:t xml:space="preserve">«Печора» в рамках приоритетного проекта </w:t>
      </w:r>
      <w:r w:rsidR="00890F00"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890F00">
        <w:rPr>
          <w:rFonts w:ascii="Times New Roman" w:hAnsi="Times New Roman" w:cs="Times New Roman"/>
          <w:sz w:val="26"/>
          <w:szCs w:val="26"/>
        </w:rPr>
        <w:t xml:space="preserve"> на 2018 – 2022 г.»</w:t>
      </w:r>
    </w:p>
    <w:p w:rsidR="0026485D" w:rsidRPr="005937D9" w:rsidRDefault="0026485D" w:rsidP="00511E27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</w:p>
    <w:p w:rsidR="00564E3D" w:rsidRDefault="00E65E73" w:rsidP="00E65E73">
      <w:pPr>
        <w:autoSpaceDE w:val="0"/>
        <w:autoSpaceDN w:val="0"/>
        <w:adjustRightInd w:val="0"/>
        <w:spacing w:after="0" w:line="240" w:lineRule="auto"/>
        <w:ind w:left="1418" w:righ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 w:rsid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участия населения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местного самоуправления,</w:t>
      </w:r>
    </w:p>
    <w:p w:rsidR="005A2393" w:rsidRPr="00564E3D" w:rsidRDefault="005A2393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8240F5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E73" w:rsidRPr="00E65E7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E65E73" w:rsidRPr="00E65E7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1.1. Порядок организации и проведения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Pr="00E65E73">
        <w:rPr>
          <w:rFonts w:ascii="Times New Roman" w:hAnsi="Times New Roman" w:cs="Times New Roman"/>
          <w:sz w:val="26"/>
          <w:szCs w:val="26"/>
        </w:rPr>
        <w:t xml:space="preserve">, подлежащих в первоочередном порядке благоустройству в 2018 году в соответствии с государственной программой </w:t>
      </w:r>
      <w:r w:rsidR="00A96CA5">
        <w:rPr>
          <w:rFonts w:ascii="Times New Roman" w:hAnsi="Times New Roman" w:cs="Times New Roman"/>
          <w:sz w:val="26"/>
          <w:szCs w:val="26"/>
        </w:rPr>
        <w:t xml:space="preserve">(подпрограммой) </w:t>
      </w:r>
      <w:r>
        <w:rPr>
          <w:rFonts w:ascii="Times New Roman" w:hAnsi="Times New Roman" w:cs="Times New Roman"/>
          <w:sz w:val="26"/>
          <w:szCs w:val="26"/>
        </w:rPr>
        <w:t>Республики Коми</w:t>
      </w:r>
      <w:r w:rsidRPr="00E65E73">
        <w:rPr>
          <w:rFonts w:ascii="Times New Roman" w:hAnsi="Times New Roman" w:cs="Times New Roman"/>
          <w:sz w:val="26"/>
          <w:szCs w:val="26"/>
        </w:rPr>
        <w:t xml:space="preserve"> на</w:t>
      </w:r>
      <w:r w:rsidR="00085DC7">
        <w:rPr>
          <w:rFonts w:ascii="Times New Roman" w:hAnsi="Times New Roman" w:cs="Times New Roman"/>
          <w:sz w:val="26"/>
          <w:szCs w:val="26"/>
        </w:rPr>
        <w:t xml:space="preserve"> 2018 - 2022 годы (приложение </w:t>
      </w:r>
      <w:r w:rsidRPr="00E65E73">
        <w:rPr>
          <w:rFonts w:ascii="Times New Roman" w:hAnsi="Times New Roman" w:cs="Times New Roman"/>
          <w:sz w:val="26"/>
          <w:szCs w:val="26"/>
        </w:rPr>
        <w:t>1).</w:t>
      </w:r>
    </w:p>
    <w:p w:rsidR="00E65E73" w:rsidRPr="00E65E7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E65E73">
        <w:rPr>
          <w:rFonts w:ascii="Times New Roman" w:hAnsi="Times New Roman" w:cs="Times New Roman"/>
          <w:sz w:val="26"/>
          <w:szCs w:val="26"/>
        </w:rPr>
        <w:t>2).</w:t>
      </w:r>
    </w:p>
    <w:p w:rsidR="00E65E73" w:rsidRPr="00E65E7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1.3. Форму итогового протокола общественной </w:t>
      </w:r>
      <w:r w:rsidR="0092680D">
        <w:rPr>
          <w:rFonts w:ascii="Times New Roman" w:hAnsi="Times New Roman" w:cs="Times New Roman"/>
          <w:sz w:val="26"/>
          <w:szCs w:val="26"/>
        </w:rPr>
        <w:t>К</w:t>
      </w:r>
      <w:r w:rsidRPr="00E65E73">
        <w:rPr>
          <w:rFonts w:ascii="Times New Roman" w:hAnsi="Times New Roman" w:cs="Times New Roman"/>
          <w:sz w:val="26"/>
          <w:szCs w:val="26"/>
        </w:rPr>
        <w:t xml:space="preserve">омиссии об итогах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E65E73" w:rsidRPr="00E65E7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1.4. Форму бюллетеня для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 (приложение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BE262D" w:rsidRPr="001545A3" w:rsidRDefault="00E65E73" w:rsidP="002C4C09">
      <w:pPr>
        <w:spacing w:after="0" w:line="240" w:lineRule="auto"/>
        <w:ind w:left="1418" w:right="42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F6155">
        <w:rPr>
          <w:rFonts w:ascii="Times New Roman" w:hAnsi="Times New Roman" w:cs="Times New Roman"/>
          <w:sz w:val="26"/>
          <w:szCs w:val="26"/>
        </w:rPr>
        <w:t>постановление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9F6155">
        <w:rPr>
          <w:rFonts w:ascii="Times New Roman" w:hAnsi="Times New Roman" w:cs="Times New Roman"/>
          <w:sz w:val="26"/>
          <w:szCs w:val="26"/>
        </w:rPr>
        <w:t xml:space="preserve">его </w:t>
      </w:r>
      <w:r w:rsidRPr="00E65E73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A776D" w:rsidRPr="0035321E" w:rsidRDefault="007A776D" w:rsidP="002C4C09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1545A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82CB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45A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C0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5A3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1545A3"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проведения голосования по общественным территориям муниципального образования городского поселения «Печора», подлежащих в первоочередном порядке благоустройству в 2018 году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121AC">
        <w:rPr>
          <w:rFonts w:ascii="Times New Roman" w:eastAsia="Calibri" w:hAnsi="Times New Roman" w:cs="Times New Roman"/>
          <w:sz w:val="26"/>
          <w:szCs w:val="26"/>
        </w:rPr>
        <w:t>Г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 (далее – «голосование по общественным территориям», «голосование»)</w:t>
      </w:r>
      <w:r w:rsidR="002C4C09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общественного мнения по проектам благоустройства территории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A1A5B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МР «Печора» о проведении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по общественным территориям принимается на основании </w:t>
      </w:r>
      <w:r w:rsidR="002C4C09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РФ № 1578 от 16.12.2017 года</w:t>
      </w:r>
      <w:r w:rsidR="003A1A5B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C4C09">
        <w:rPr>
          <w:rFonts w:ascii="Times New Roman" w:eastAsia="Calibri" w:hAnsi="Times New Roman" w:cs="Times New Roman"/>
          <w:sz w:val="26"/>
          <w:szCs w:val="26"/>
        </w:rPr>
        <w:t>.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5DC7" w:rsidRPr="00085DC7" w:rsidRDefault="0092680D" w:rsidP="00085DC7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="00085DC7" w:rsidRPr="00085DC7">
        <w:rPr>
          <w:rFonts w:ascii="Times New Roman" w:eastAsia="Calibri" w:hAnsi="Times New Roman" w:cs="Times New Roman"/>
          <w:sz w:val="26"/>
          <w:szCs w:val="26"/>
        </w:rPr>
        <w:t>дизайн-проектами</w:t>
      </w:r>
      <w:proofErr w:type="gramEnd"/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территорий, отобранных для голосования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В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постановлении администрации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>о назначении голосования по общественным территориям устанавливаются следующие сведения: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3) перечень общественных территорий, представленных на голосование;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4) порядок определения победителя по итогам голосования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5) иные сведения, необходимые для проведения голосования.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903774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92680D">
        <w:rPr>
          <w:rFonts w:ascii="Times New Roman" w:eastAsia="Calibri" w:hAnsi="Times New Roman" w:cs="Times New Roman"/>
          <w:sz w:val="26"/>
          <w:szCs w:val="26"/>
        </w:rPr>
        <w:t>МР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дней до дня его проведения.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Проведение голосования организует и обеспечивает общественная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омиссия.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Общественная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омиссия: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2) формирует территориальные счетные комиссии и оборудует территориальные счетные участки;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3) рассматривает обращения граждан по вопросам, связанным с проведением голосования;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4) осуществляет иные полномочия, определенные </w:t>
      </w:r>
      <w:r w:rsidR="00874A10">
        <w:rPr>
          <w:rFonts w:ascii="Times New Roman" w:eastAsia="Calibri" w:hAnsi="Times New Roman" w:cs="Times New Roman"/>
          <w:sz w:val="26"/>
          <w:szCs w:val="26"/>
        </w:rPr>
        <w:t>председателем общественной Комиссии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Количественный состав членов территориальных счетных комиссий определяется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и должен быть не менее 3-х членов комиссии. 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85DC7" w:rsidRPr="00085DC7" w:rsidRDefault="00085DC7" w:rsidP="00085DC7">
      <w:p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7.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</w:t>
      </w:r>
      <w:r w:rsidR="00874A10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омиссия передает в территориальные счетные комиссии.  </w:t>
      </w:r>
    </w:p>
    <w:p w:rsidR="00085DC7" w:rsidRPr="00085DC7" w:rsidRDefault="00085DC7" w:rsidP="00085DC7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 Голосование по общественным территориям проводится путем открытого голосования. </w:t>
      </w:r>
    </w:p>
    <w:p w:rsidR="00085DC7" w:rsidRPr="00085DC7" w:rsidRDefault="00085DC7" w:rsidP="00085DC7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874A10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списке могут быть также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предусмотрены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- графа для проставления участником голосования подписи за полученный им бюллетень;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085DC7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любое количество проектов, но не более чем </w:t>
      </w:r>
      <w:r w:rsidR="003A1A5B">
        <w:rPr>
          <w:rFonts w:ascii="Times New Roman" w:eastAsia="Calibri" w:hAnsi="Times New Roman" w:cs="Times New Roman"/>
          <w:sz w:val="26"/>
          <w:szCs w:val="26"/>
        </w:rPr>
        <w:t>3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A1A5B">
        <w:rPr>
          <w:rFonts w:ascii="Times New Roman" w:eastAsia="Calibri" w:hAnsi="Times New Roman" w:cs="Times New Roman"/>
          <w:sz w:val="26"/>
          <w:szCs w:val="26"/>
        </w:rPr>
        <w:t>три</w:t>
      </w:r>
      <w:r w:rsidR="00874A10">
        <w:rPr>
          <w:rFonts w:ascii="Times New Roman" w:eastAsia="Calibri" w:hAnsi="Times New Roman" w:cs="Times New Roman"/>
          <w:sz w:val="26"/>
          <w:szCs w:val="26"/>
        </w:rPr>
        <w:t>)</w:t>
      </w:r>
      <w:r w:rsidRPr="00085DC7">
        <w:rPr>
          <w:rFonts w:ascii="Times New Roman" w:eastAsia="Calibri" w:hAnsi="Times New Roman" w:cs="Times New Roman"/>
          <w:i/>
          <w:sz w:val="26"/>
          <w:szCs w:val="26"/>
          <w:u w:val="single"/>
        </w:rPr>
        <w:t>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Голосование по общественным территориям является рейтинговым.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10. Голосование проводится на территориальных счетных участках.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чем за </w:t>
      </w:r>
      <w:r w:rsidR="00874A10">
        <w:rPr>
          <w:rFonts w:ascii="Times New Roman" w:eastAsia="Calibri" w:hAnsi="Times New Roman" w:cs="Times New Roman"/>
          <w:sz w:val="26"/>
          <w:szCs w:val="26"/>
        </w:rPr>
        <w:t>3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74A10">
        <w:rPr>
          <w:rFonts w:ascii="Times New Roman" w:eastAsia="Calibri" w:hAnsi="Times New Roman" w:cs="Times New Roman"/>
          <w:sz w:val="26"/>
          <w:szCs w:val="26"/>
        </w:rPr>
        <w:t>три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) общественных территорий.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которые) 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>он собирается голосовать.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874A10">
        <w:rPr>
          <w:rFonts w:ascii="Times New Roman" w:eastAsia="Calibri" w:hAnsi="Times New Roman" w:cs="Times New Roman"/>
          <w:sz w:val="26"/>
          <w:szCs w:val="26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в средствах массовой информации </w:t>
      </w:r>
      <w:r w:rsidR="00903774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администрации 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12. Подсчет голосов участников голосования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подсчете голосов имеют право присутствовать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лица.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Недействительные бюллетени подсчитываются и суммируются отдельно.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</w:t>
      </w:r>
      <w:proofErr w:type="gramEnd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включение которой в голосование поступила раньше.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 После проведения всех необходимых действий и подсчетов</w:t>
      </w:r>
      <w:r w:rsidR="009037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омиссию.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По решению общественной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подсчет голосов участников голосования может осуществляться в общественной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омиссии.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Жалобы, обращения, связанные с проведением голосования, подаются в общественную </w:t>
      </w:r>
      <w:r w:rsidR="00874A1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омиссию. </w:t>
      </w:r>
      <w:r w:rsidR="00874A1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Общественная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общественной </w:t>
      </w:r>
      <w:r w:rsidR="00903774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омиссии об итогах голосования в муниципальном образовании) указываются: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19.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общественным территориям производится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на основании протоколов территориальных счетных комиссий, и оформляется итоговым протоколом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производится не позднее, чем через </w:t>
      </w:r>
      <w:r w:rsidR="00874A10">
        <w:rPr>
          <w:rFonts w:ascii="Times New Roman" w:eastAsia="Calibri" w:hAnsi="Times New Roman" w:cs="Times New Roman"/>
          <w:sz w:val="26"/>
          <w:szCs w:val="26"/>
        </w:rPr>
        <w:t>10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A10">
        <w:rPr>
          <w:rFonts w:ascii="Times New Roman" w:eastAsia="Calibri" w:hAnsi="Times New Roman" w:cs="Times New Roman"/>
          <w:sz w:val="26"/>
          <w:szCs w:val="26"/>
        </w:rPr>
        <w:t>(десять) дней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со дня проведения голосования.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20. После оформления итогов голосования по общественным территориям председатель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представляет главе 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администрации 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 результатов голосования.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21. Итоговый протокол </w:t>
      </w:r>
      <w:r w:rsidR="00874A10">
        <w:rPr>
          <w:rFonts w:ascii="Times New Roman" w:eastAsia="Calibri" w:hAnsi="Times New Roman" w:cs="Times New Roman"/>
          <w:sz w:val="26"/>
          <w:szCs w:val="26"/>
        </w:rPr>
        <w:t>результатов голосования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печатается на листах формата A4. Каждый лист итогового протокола должен быть пронумерован, подписан всеми присутствующими членами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омиссии, заверен печатью администрации </w:t>
      </w:r>
      <w:r w:rsidR="00B94E57">
        <w:rPr>
          <w:rFonts w:ascii="Times New Roman" w:eastAsia="Calibri" w:hAnsi="Times New Roman" w:cs="Times New Roman"/>
          <w:sz w:val="26"/>
          <w:szCs w:val="26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и содержать дату и время подписания протокола. Итоговый протокол 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B94E57">
        <w:rPr>
          <w:rFonts w:ascii="Times New Roman" w:eastAsia="Calibri" w:hAnsi="Times New Roman" w:cs="Times New Roman"/>
          <w:sz w:val="26"/>
          <w:szCs w:val="26"/>
        </w:rPr>
        <w:t>отдел документационного обеспечения и контроля администрации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E57">
        <w:rPr>
          <w:rFonts w:ascii="Times New Roman" w:eastAsia="Calibri" w:hAnsi="Times New Roman" w:cs="Times New Roman"/>
          <w:sz w:val="26"/>
          <w:szCs w:val="26"/>
        </w:rPr>
        <w:t>МР «Печора».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и в  информационно-телекоммуникационной сети «Интернет».</w:t>
      </w:r>
    </w:p>
    <w:p w:rsidR="00085DC7" w:rsidRPr="00085DC7" w:rsidRDefault="00085DC7" w:rsidP="00690B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903774">
        <w:rPr>
          <w:rFonts w:ascii="Times New Roman" w:eastAsia="Calibri" w:hAnsi="Times New Roman" w:cs="Times New Roman"/>
          <w:sz w:val="26"/>
          <w:szCs w:val="26"/>
          <w:lang w:eastAsia="ru-RU"/>
        </w:rPr>
        <w:t>отделе документационного обеспечения и контроля</w:t>
      </w:r>
      <w:r w:rsidR="00B94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B94E5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>, а затем уничтожаются.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  <w:r w:rsidRPr="00085DC7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4E5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4E57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94E57" w:rsidRDefault="00B94E5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085DC7" w:rsidRPr="00085DC7" w:rsidRDefault="00085DC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4121AC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территориальной счетной комиссии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о результатах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Территориальная счетная комиссия № 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1. Число граждан, внесенных в список                                           цифрами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 на момент окончания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выданных территориальной счетной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комиссией гражданам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 день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погашенных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4. Число заполненных бюллетеней,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полученных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членами территориальной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счетной комиссии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недействительных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6.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Наименование общественных территорий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территориальной счетной комиссии: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4E5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B94E5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итогового протокола 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об итогах голосования по общественным территориям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4121AC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об итогах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1. Число граждан, внесенных в списки                                           цифрами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 на момент окончания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выданных территориальными счетными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комиссиями гражданам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день 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погашенных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4.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содержащихся в ящиках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недействительных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6.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Наименование общественных территорий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</w:p>
    <w:p w:rsidR="00085DC7" w:rsidRPr="00085DC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DC7" w:rsidRPr="00085DC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общественной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690BAB" w:rsidRDefault="00690BAB" w:rsidP="0069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69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18"/>
        </w:rPr>
      </w:pPr>
      <w:r w:rsidRPr="00085DC7">
        <w:rPr>
          <w:rFonts w:ascii="Times New Roman" w:eastAsia="Calibri" w:hAnsi="Times New Roman" w:cs="Times New Roman"/>
          <w:sz w:val="24"/>
          <w:szCs w:val="24"/>
        </w:rPr>
        <w:t>от «___» ______ 2017 года</w:t>
      </w:r>
      <w:r w:rsidRPr="00085DC7">
        <w:rPr>
          <w:rFonts w:ascii="Times New Roman" w:eastAsia="Calibri" w:hAnsi="Times New Roman" w:cs="Times New Roman"/>
          <w:sz w:val="18"/>
        </w:rPr>
        <w:t xml:space="preserve">                                     </w:t>
      </w:r>
    </w:p>
    <w:tbl>
      <w:tblPr>
        <w:tblW w:w="9922" w:type="dxa"/>
        <w:tblInd w:w="110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812"/>
        <w:gridCol w:w="992"/>
      </w:tblGrid>
      <w:tr w:rsidR="00085DC7" w:rsidRPr="00085DC7" w:rsidTr="00690BAB">
        <w:trPr>
          <w:cantSplit/>
        </w:trPr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DC7" w:rsidRPr="00085DC7" w:rsidRDefault="00085DC7" w:rsidP="00085DC7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085DC7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085DC7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085DC7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085DC7" w:rsidRPr="00085DC7" w:rsidRDefault="00085DC7" w:rsidP="00690BAB">
            <w:pPr>
              <w:keepNext/>
              <w:spacing w:after="0" w:line="256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Подписи двух членов</w:t>
            </w:r>
          </w:p>
          <w:p w:rsidR="00085DC7" w:rsidRPr="00085DC7" w:rsidRDefault="00690BAB" w:rsidP="00690B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т</w:t>
            </w:r>
            <w:r w:rsidR="00085DC7"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ерриториальной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 </w:t>
            </w:r>
            <w:r w:rsidR="00085DC7"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085DC7" w:rsidRPr="00085DC7" w:rsidRDefault="00085DC7" w:rsidP="00690BAB">
            <w:pPr>
              <w:spacing w:before="120" w:after="12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Pr="00085DC7" w:rsidRDefault="00085DC7" w:rsidP="00085DC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Pr="00085DC7" w:rsidRDefault="00085DC7" w:rsidP="00085DC7">
            <w:pPr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85DC7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proofErr w:type="gramStart"/>
            <w:r w:rsidRPr="00085DC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</w:t>
            </w:r>
            <w:r w:rsidR="004121AC">
              <w:rPr>
                <w:rFonts w:ascii="Times New Roman" w:eastAsia="Calibri" w:hAnsi="Times New Roman" w:cs="Times New Roman"/>
                <w:sz w:val="24"/>
              </w:rPr>
              <w:t>городского поселения «Печора»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>«____» __________ 2018 года</w:t>
            </w:r>
          </w:p>
          <w:p w:rsidR="00085DC7" w:rsidRPr="00085DC7" w:rsidRDefault="00085DC7" w:rsidP="00085DC7">
            <w:pPr>
              <w:keepNext/>
              <w:spacing w:before="60" w:after="0" w:line="256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sz w:val="25"/>
                <w:szCs w:val="20"/>
              </w:rPr>
              <w:t xml:space="preserve">                                </w:t>
            </w:r>
          </w:p>
          <w:p w:rsidR="00085DC7" w:rsidRPr="00085DC7" w:rsidRDefault="00085DC7" w:rsidP="00085DC7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</w:rPr>
            </w:pPr>
          </w:p>
        </w:tc>
      </w:tr>
      <w:tr w:rsidR="00085DC7" w:rsidRPr="00085DC7" w:rsidTr="00690BAB">
        <w:trPr>
          <w:cantSplit/>
          <w:trHeight w:val="1974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keepNext/>
              <w:spacing w:before="240" w:after="6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РАЗЪЯСНЕНИЕ О ПОРЯДКЕ ЗАПОЛНЕНИЯ БЮЛЛЕТЕНЯ</w:t>
            </w:r>
          </w:p>
          <w:p w:rsidR="00085DC7" w:rsidRPr="00085DC7" w:rsidRDefault="00085DC7" w:rsidP="00085DC7">
            <w:pPr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3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трёх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) общественных территорий, в пользу которых  сделан выбор.</w:t>
            </w:r>
          </w:p>
          <w:p w:rsidR="00085DC7" w:rsidRPr="00085DC7" w:rsidRDefault="00085DC7" w:rsidP="00690BA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 проставлены более чем в 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3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трёх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) квадратах   либо бюллетень,  в котором  знаки (знак)   не проставлены  ни в одном из квадратов - считаются недействительными.     </w:t>
            </w:r>
          </w:p>
        </w:tc>
      </w:tr>
      <w:tr w:rsidR="00085DC7" w:rsidRPr="00085DC7" w:rsidTr="00690BAB">
        <w:trPr>
          <w:trHeight w:val="17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</w:t>
            </w:r>
            <w:r w:rsidRPr="00085DC7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085DC7" w:rsidRPr="00085DC7" w:rsidRDefault="00085DC7" w:rsidP="00085DC7">
            <w:pPr>
              <w:ind w:firstLine="45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2E2AF" wp14:editId="75EF3B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ziHA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085DC7" w:rsidRPr="00085DC7" w:rsidTr="00690BAB">
        <w:trPr>
          <w:trHeight w:val="1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60622" wp14:editId="32C6064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gE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" strokeweight="1.5pt"/>
                  </w:pict>
                </mc:Fallback>
              </mc:AlternateContent>
            </w:r>
          </w:p>
        </w:tc>
      </w:tr>
      <w:tr w:rsidR="00085DC7" w:rsidRPr="00085DC7" w:rsidTr="00690BAB">
        <w:trPr>
          <w:trHeight w:val="16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C002E" wp14:editId="172FEC4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252730</wp:posOffset>
                      </wp:positionV>
                      <wp:extent cx="541020" cy="541020"/>
                      <wp:effectExtent l="0" t="0" r="11430" b="1143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7pt;margin-top:19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MkGw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C43368" w:rsidRDefault="00C43368" w:rsidP="00C72067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sectPr w:rsidR="00C43368" w:rsidSect="00690BAB">
      <w:pgSz w:w="11900" w:h="16840"/>
      <w:pgMar w:top="993" w:right="701" w:bottom="851" w:left="0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085DC7"/>
    <w:rsid w:val="00101807"/>
    <w:rsid w:val="001423A9"/>
    <w:rsid w:val="001545A3"/>
    <w:rsid w:val="0017754E"/>
    <w:rsid w:val="00182CB6"/>
    <w:rsid w:val="001B6EBA"/>
    <w:rsid w:val="001C3C52"/>
    <w:rsid w:val="00250547"/>
    <w:rsid w:val="0026485D"/>
    <w:rsid w:val="002A2991"/>
    <w:rsid w:val="002C4C09"/>
    <w:rsid w:val="002E6DC3"/>
    <w:rsid w:val="002F252B"/>
    <w:rsid w:val="002F51AC"/>
    <w:rsid w:val="003329EB"/>
    <w:rsid w:val="0035321E"/>
    <w:rsid w:val="00364DCA"/>
    <w:rsid w:val="003662B6"/>
    <w:rsid w:val="003A1A5B"/>
    <w:rsid w:val="003A6FEB"/>
    <w:rsid w:val="003B63EA"/>
    <w:rsid w:val="003C324E"/>
    <w:rsid w:val="003D397A"/>
    <w:rsid w:val="003E71B8"/>
    <w:rsid w:val="004121AC"/>
    <w:rsid w:val="00416E0D"/>
    <w:rsid w:val="004427CE"/>
    <w:rsid w:val="00481B3D"/>
    <w:rsid w:val="004B176E"/>
    <w:rsid w:val="004B1DC1"/>
    <w:rsid w:val="004F2313"/>
    <w:rsid w:val="00511E27"/>
    <w:rsid w:val="005128B6"/>
    <w:rsid w:val="00514570"/>
    <w:rsid w:val="00564E3D"/>
    <w:rsid w:val="005937D9"/>
    <w:rsid w:val="005A2393"/>
    <w:rsid w:val="005A4749"/>
    <w:rsid w:val="006330C6"/>
    <w:rsid w:val="00645311"/>
    <w:rsid w:val="00690BAB"/>
    <w:rsid w:val="007102AC"/>
    <w:rsid w:val="00792168"/>
    <w:rsid w:val="007A3C14"/>
    <w:rsid w:val="007A776D"/>
    <w:rsid w:val="008240F5"/>
    <w:rsid w:val="00825D2C"/>
    <w:rsid w:val="008279F9"/>
    <w:rsid w:val="00863756"/>
    <w:rsid w:val="00874A10"/>
    <w:rsid w:val="00880DCC"/>
    <w:rsid w:val="008865F7"/>
    <w:rsid w:val="00890F00"/>
    <w:rsid w:val="008B0802"/>
    <w:rsid w:val="00901121"/>
    <w:rsid w:val="00903774"/>
    <w:rsid w:val="00910BB8"/>
    <w:rsid w:val="0092680D"/>
    <w:rsid w:val="0094235A"/>
    <w:rsid w:val="00955916"/>
    <w:rsid w:val="00985DED"/>
    <w:rsid w:val="0099200E"/>
    <w:rsid w:val="009F6155"/>
    <w:rsid w:val="00A60056"/>
    <w:rsid w:val="00A96CA5"/>
    <w:rsid w:val="00AB1511"/>
    <w:rsid w:val="00AD7C2E"/>
    <w:rsid w:val="00B15B1C"/>
    <w:rsid w:val="00B51F60"/>
    <w:rsid w:val="00B94E57"/>
    <w:rsid w:val="00BB26E0"/>
    <w:rsid w:val="00BE262D"/>
    <w:rsid w:val="00BF0CA2"/>
    <w:rsid w:val="00BF303C"/>
    <w:rsid w:val="00C43368"/>
    <w:rsid w:val="00C6185E"/>
    <w:rsid w:val="00C72067"/>
    <w:rsid w:val="00C84C0F"/>
    <w:rsid w:val="00CF326A"/>
    <w:rsid w:val="00CF3EE4"/>
    <w:rsid w:val="00CF559F"/>
    <w:rsid w:val="00D136E9"/>
    <w:rsid w:val="00D276BE"/>
    <w:rsid w:val="00D51452"/>
    <w:rsid w:val="00D53815"/>
    <w:rsid w:val="00D9701E"/>
    <w:rsid w:val="00DB5D3A"/>
    <w:rsid w:val="00DD7116"/>
    <w:rsid w:val="00DF10DE"/>
    <w:rsid w:val="00DF547D"/>
    <w:rsid w:val="00E34EF0"/>
    <w:rsid w:val="00E65E73"/>
    <w:rsid w:val="00F701F2"/>
    <w:rsid w:val="00F70335"/>
    <w:rsid w:val="00F92F3C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C3E5-1F26-4DEA-A137-6634FB4F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18</cp:revision>
  <cp:lastPrinted>2018-01-09T13:53:00Z</cp:lastPrinted>
  <dcterms:created xsi:type="dcterms:W3CDTF">2017-12-27T13:00:00Z</dcterms:created>
  <dcterms:modified xsi:type="dcterms:W3CDTF">2018-01-09T13:58:00Z</dcterms:modified>
</cp:coreProperties>
</file>