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 предоставлении субъектам малого и среднего предпринимательства отсрочки внесения платежей по арендной плате по договорам аренды земельных участков, находящихся в муниципальной собственности, а также по договорам аренды земельных участков, государственная собственность на которые не разграничена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03/31/07-21/00013485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"https://pravo.rkomi.ru/projects#npa=13485"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https://pravo.rkomi.ru/projects#npa=13485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27.07.2021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25.08.2021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27.08.2021 в 7:49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