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84" w:rsidRPr="00AA6784" w:rsidRDefault="00AA6784" w:rsidP="00AA6784">
      <w:pPr>
        <w:widowControl w:val="0"/>
        <w:jc w:val="right"/>
        <w:rPr>
          <w:szCs w:val="26"/>
        </w:rPr>
      </w:pPr>
      <w:r w:rsidRPr="00AA6784">
        <w:rPr>
          <w:szCs w:val="26"/>
        </w:rPr>
        <w:t>Приложение 4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A6784" w:rsidRPr="00AA6784" w:rsidRDefault="00AA6784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C3183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 w:rsidR="00C3183D"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7667F3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7667F3">
              <w:rPr>
                <w:b w:val="0"/>
                <w:sz w:val="24"/>
                <w:szCs w:val="24"/>
              </w:rPr>
              <w:t>главного архитектора</w:t>
            </w:r>
            <w:r w:rsidR="00884E8F" w:rsidRPr="00884E8F">
              <w:rPr>
                <w:b w:val="0"/>
                <w:sz w:val="24"/>
                <w:szCs w:val="24"/>
              </w:rPr>
              <w:t xml:space="preserve">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67F3" w:rsidP="007667F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2354B5" w:rsidP="007769E0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</w:t>
            </w:r>
            <w:r w:rsidRPr="00884E8F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354B5" w:rsidP="009708B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lastRenderedPageBreak/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B53D9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B53D9D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B53D9D" w:rsidP="00B53D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B53D9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</w:t>
            </w:r>
            <w:r w:rsidR="00C52120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удовлетворенности населения жилищно-коммунальными </w:t>
            </w:r>
            <w:r>
              <w:rPr>
                <w:sz w:val="24"/>
                <w:szCs w:val="24"/>
              </w:rPr>
              <w:lastRenderedPageBreak/>
              <w:t>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61D8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AE2F18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 в 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 xml:space="preserve">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</w:t>
            </w:r>
            <w:r w:rsidRPr="00307176">
              <w:rPr>
                <w:sz w:val="24"/>
                <w:szCs w:val="24"/>
              </w:rPr>
              <w:lastRenderedPageBreak/>
              <w:t>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8B4D4F" w:rsidRPr="0043468D" w:rsidTr="009708B3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8B4D4F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6A3F79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C638C0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2F23A4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</w:t>
            </w:r>
            <w:r w:rsidRPr="002D6AF0">
              <w:rPr>
                <w:sz w:val="24"/>
                <w:szCs w:val="24"/>
              </w:rPr>
              <w:lastRenderedPageBreak/>
              <w:t>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53746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C638C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2F23A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2F23A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F46454" w:rsidRDefault="008B4D4F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914393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5E74AD" w:rsidRDefault="008B4D4F" w:rsidP="005E74AD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8B4D4F" w:rsidRDefault="008B4D4F" w:rsidP="005E74AD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2F23A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2F23A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1EFD" w:rsidRDefault="008B4D4F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8B4D4F" w:rsidRPr="0043468D" w:rsidTr="00A3754D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8B4D4F" w:rsidRPr="0043468D" w:rsidTr="009708B3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93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14C93" w:rsidRDefault="008B4D4F" w:rsidP="009708B3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90BA0" w:rsidRDefault="008B4D4F" w:rsidP="009708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4C7AEA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8B4D4F" w:rsidRDefault="008B4D4F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4542EB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EB" w:rsidRDefault="00145F72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EB" w:rsidRPr="002677C3" w:rsidRDefault="004542EB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EB" w:rsidRDefault="00145F72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главного архитектора </w:t>
            </w:r>
            <w:r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EB" w:rsidRPr="00307176" w:rsidRDefault="00145F72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EB" w:rsidRDefault="00145F72" w:rsidP="00145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 архитектор</w:t>
            </w:r>
            <w:r>
              <w:rPr>
                <w:sz w:val="24"/>
                <w:szCs w:val="24"/>
              </w:rPr>
              <w:t xml:space="preserve"> администрации МР </w:t>
            </w:r>
            <w:r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145F7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145F72">
              <w:rPr>
                <w:rFonts w:eastAsia="Calibri"/>
                <w:sz w:val="24"/>
                <w:szCs w:val="24"/>
                <w:lang w:eastAsia="en-US"/>
              </w:rPr>
              <w:t>8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F02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администрации МР «Печора»</w:t>
            </w:r>
          </w:p>
        </w:tc>
      </w:tr>
      <w:tr w:rsidR="008B4D4F" w:rsidRPr="0043468D" w:rsidTr="00C41A6B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8B4D4F" w:rsidRDefault="008B4D4F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C4A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C40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8B4D4F" w:rsidRPr="0043468D" w:rsidTr="009708B3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2109F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sz w:val="24"/>
                <w:szCs w:val="24"/>
              </w:rPr>
              <w:t>отдела благоустройства,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210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7A108A">
              <w:rPr>
                <w:sz w:val="24"/>
                <w:szCs w:val="24"/>
              </w:rPr>
              <w:t xml:space="preserve">тдел благоустройства, дорожного хозяйства и транспорта администрации МР </w:t>
            </w:r>
            <w:r w:rsidRPr="007A108A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83D" w:rsidRDefault="008B4D4F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83D" w:rsidRDefault="008B4D4F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F735C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E219FC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8B4D4F" w:rsidRDefault="008B4D4F" w:rsidP="00A3574C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5C61E2" w:rsidP="005C61E2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7A108A" w:rsidRDefault="008B4D4F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7A108A" w:rsidRDefault="008B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D4F" w:rsidRPr="00307176" w:rsidRDefault="008B4D4F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6919CA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</w:t>
            </w:r>
            <w:r w:rsidRPr="00307176">
              <w:rPr>
                <w:sz w:val="24"/>
                <w:szCs w:val="24"/>
              </w:rPr>
              <w:lastRenderedPageBreak/>
              <w:t>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 xml:space="preserve">./  площадь многоквартирных домов на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2A3DB1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46DE" w:rsidRDefault="008B4D4F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B423D" w:rsidRDefault="008B4D4F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A502EF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46DE" w:rsidRDefault="008B4D4F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11201" w:rsidRDefault="008B4D4F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4A4096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76483" w:rsidRDefault="008B4D4F" w:rsidP="00876483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76483" w:rsidRDefault="008B4D4F" w:rsidP="009708B3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105DB7" w:rsidRDefault="008B4D4F" w:rsidP="00C051A5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 w:rsidR="00C051A5"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 w:rsidR="00C051A5"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p w:rsidR="004A17DB" w:rsidRDefault="004A17DB"/>
    <w:sectPr w:rsidR="004A17D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3620D"/>
    <w:rsid w:val="000624FE"/>
    <w:rsid w:val="000716F6"/>
    <w:rsid w:val="00086749"/>
    <w:rsid w:val="000A297A"/>
    <w:rsid w:val="000A3A1E"/>
    <w:rsid w:val="000B2750"/>
    <w:rsid w:val="000C5B16"/>
    <w:rsid w:val="000F0403"/>
    <w:rsid w:val="000F4D6C"/>
    <w:rsid w:val="00105DB7"/>
    <w:rsid w:val="00105EFB"/>
    <w:rsid w:val="00107070"/>
    <w:rsid w:val="001455C2"/>
    <w:rsid w:val="00145F72"/>
    <w:rsid w:val="00186C07"/>
    <w:rsid w:val="001B3F02"/>
    <w:rsid w:val="001C727C"/>
    <w:rsid w:val="001E1D7E"/>
    <w:rsid w:val="001E501B"/>
    <w:rsid w:val="002109F7"/>
    <w:rsid w:val="002354B5"/>
    <w:rsid w:val="0023594B"/>
    <w:rsid w:val="00276291"/>
    <w:rsid w:val="002B423D"/>
    <w:rsid w:val="002F23A4"/>
    <w:rsid w:val="003037D3"/>
    <w:rsid w:val="00304C02"/>
    <w:rsid w:val="00307176"/>
    <w:rsid w:val="00321E53"/>
    <w:rsid w:val="00342AA6"/>
    <w:rsid w:val="00350FC8"/>
    <w:rsid w:val="00374E47"/>
    <w:rsid w:val="0037765A"/>
    <w:rsid w:val="003A423E"/>
    <w:rsid w:val="003B014A"/>
    <w:rsid w:val="003C4A3B"/>
    <w:rsid w:val="003D0792"/>
    <w:rsid w:val="004542EB"/>
    <w:rsid w:val="00466842"/>
    <w:rsid w:val="0047387D"/>
    <w:rsid w:val="004A17DB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1E2"/>
    <w:rsid w:val="005C6351"/>
    <w:rsid w:val="005E704F"/>
    <w:rsid w:val="005E74AD"/>
    <w:rsid w:val="006627A8"/>
    <w:rsid w:val="00670365"/>
    <w:rsid w:val="006919CA"/>
    <w:rsid w:val="0069346A"/>
    <w:rsid w:val="006A10D4"/>
    <w:rsid w:val="006D25CC"/>
    <w:rsid w:val="006E5D10"/>
    <w:rsid w:val="007603A7"/>
    <w:rsid w:val="007667F3"/>
    <w:rsid w:val="007769E0"/>
    <w:rsid w:val="007B0D02"/>
    <w:rsid w:val="00876483"/>
    <w:rsid w:val="00882C95"/>
    <w:rsid w:val="00884E8F"/>
    <w:rsid w:val="0088687A"/>
    <w:rsid w:val="008B4D4F"/>
    <w:rsid w:val="008D5269"/>
    <w:rsid w:val="00901FEB"/>
    <w:rsid w:val="0094313C"/>
    <w:rsid w:val="00972665"/>
    <w:rsid w:val="009C1383"/>
    <w:rsid w:val="009F735C"/>
    <w:rsid w:val="009F7C5F"/>
    <w:rsid w:val="00A17480"/>
    <w:rsid w:val="00A3754D"/>
    <w:rsid w:val="00A4044D"/>
    <w:rsid w:val="00A44FED"/>
    <w:rsid w:val="00A507E7"/>
    <w:rsid w:val="00A837E8"/>
    <w:rsid w:val="00AA6784"/>
    <w:rsid w:val="00AA70A9"/>
    <w:rsid w:val="00AC5681"/>
    <w:rsid w:val="00AE2F18"/>
    <w:rsid w:val="00B44C70"/>
    <w:rsid w:val="00B53D9D"/>
    <w:rsid w:val="00B607E6"/>
    <w:rsid w:val="00B6605C"/>
    <w:rsid w:val="00BE6C4E"/>
    <w:rsid w:val="00C051A5"/>
    <w:rsid w:val="00C3183D"/>
    <w:rsid w:val="00C41A6B"/>
    <w:rsid w:val="00C52120"/>
    <w:rsid w:val="00C638C0"/>
    <w:rsid w:val="00CA1EFD"/>
    <w:rsid w:val="00CA46DE"/>
    <w:rsid w:val="00D06258"/>
    <w:rsid w:val="00D1089B"/>
    <w:rsid w:val="00D836EF"/>
    <w:rsid w:val="00E37ACA"/>
    <w:rsid w:val="00E70A1B"/>
    <w:rsid w:val="00E75078"/>
    <w:rsid w:val="00EF0E79"/>
    <w:rsid w:val="00F02104"/>
    <w:rsid w:val="00F14B1E"/>
    <w:rsid w:val="00F46454"/>
    <w:rsid w:val="00F553AA"/>
    <w:rsid w:val="00F935A5"/>
    <w:rsid w:val="00FC40EF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9F73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9F73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3426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255</cp:revision>
  <dcterms:created xsi:type="dcterms:W3CDTF">2019-11-29T09:39:00Z</dcterms:created>
  <dcterms:modified xsi:type="dcterms:W3CDTF">2022-12-30T06:42:00Z</dcterms:modified>
</cp:coreProperties>
</file>