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proofErr w:type="gramStart"/>
      <w:r>
        <w:rPr>
          <w:rFonts w:eastAsia="Calibri"/>
          <w:szCs w:val="26"/>
        </w:rPr>
        <w:t>к  изменениям</w:t>
      </w:r>
      <w:proofErr w:type="gramEnd"/>
      <w:r>
        <w:rPr>
          <w:rFonts w:eastAsia="Calibri"/>
          <w:szCs w:val="26"/>
        </w:rPr>
        <w:t>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proofErr w:type="gramStart"/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  <w:proofErr w:type="gramEnd"/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</w:t>
      </w:r>
      <w:proofErr w:type="gramStart"/>
      <w:r w:rsidRPr="005B78E4">
        <w:rPr>
          <w:b/>
        </w:rPr>
        <w:t xml:space="preserve">мероприятий  </w:t>
      </w:r>
      <w:r w:rsidR="00C95060" w:rsidRPr="005B78E4">
        <w:rPr>
          <w:b/>
          <w:szCs w:val="26"/>
        </w:rPr>
        <w:t>муниципальной</w:t>
      </w:r>
      <w:proofErr w:type="gramEnd"/>
      <w:r w:rsidR="00C95060" w:rsidRPr="005B78E4">
        <w:rPr>
          <w:b/>
          <w:szCs w:val="26"/>
        </w:rPr>
        <w:t xml:space="preserve">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3544"/>
      </w:tblGrid>
      <w:tr w:rsidR="00573203" w:rsidRPr="005B78E4" w:rsidTr="000F07A4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0F07A4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0F07A4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0F07A4">
        <w:trPr>
          <w:trHeight w:val="238"/>
        </w:trPr>
        <w:tc>
          <w:tcPr>
            <w:tcW w:w="1520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0F07A4">
        <w:trPr>
          <w:trHeight w:val="128"/>
        </w:trPr>
        <w:tc>
          <w:tcPr>
            <w:tcW w:w="1520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1.1.2. Реализация муниципальными дошкольными и </w:t>
            </w:r>
            <w:proofErr w:type="gramStart"/>
            <w:r w:rsidRPr="00256BB9">
              <w:rPr>
                <w:sz w:val="20"/>
              </w:rPr>
              <w:t>муниципальными  общеобразовательными</w:t>
            </w:r>
            <w:proofErr w:type="gramEnd"/>
            <w:r w:rsidRPr="00256BB9">
              <w:rPr>
                <w:sz w:val="20"/>
              </w:rPr>
              <w:t xml:space="preserve">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4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Размер средней заработной платы </w:t>
            </w:r>
            <w:r w:rsidRPr="00010354">
              <w:rPr>
                <w:sz w:val="20"/>
              </w:rPr>
              <w:lastRenderedPageBreak/>
              <w:t>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  <w:r w:rsidR="00E8540C">
              <w:rPr>
                <w:color w:val="000000" w:themeColor="text1"/>
                <w:sz w:val="20"/>
              </w:rPr>
              <w:t xml:space="preserve">                      </w:t>
            </w:r>
          </w:p>
          <w:p w:rsidR="00A85AF7" w:rsidRPr="00E8540C" w:rsidRDefault="00E8540C" w:rsidP="00105305">
            <w:pPr>
              <w:keepNext/>
              <w:keepLines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E8540C">
              <w:rPr>
                <w:rFonts w:eastAsia="Calibri"/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</w:t>
            </w:r>
            <w:r w:rsidRPr="00256BB9">
              <w:rPr>
                <w:sz w:val="20"/>
              </w:rPr>
              <w:lastRenderedPageBreak/>
              <w:t>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Управление образования </w:t>
            </w:r>
            <w:r w:rsidRPr="00256BB9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</w:t>
            </w:r>
            <w:r w:rsidRPr="00256BB9">
              <w:rPr>
                <w:sz w:val="20"/>
              </w:rPr>
              <w:lastRenderedPageBreak/>
              <w:t>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</w:t>
            </w:r>
            <w:r w:rsidRPr="00256BB9">
              <w:rPr>
                <w:sz w:val="20"/>
              </w:rPr>
              <w:lastRenderedPageBreak/>
              <w:t>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0F07A4">
        <w:trPr>
          <w:trHeight w:val="195"/>
        </w:trPr>
        <w:tc>
          <w:tcPr>
            <w:tcW w:w="1520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0F07A4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Рост удовлетворенности населения качеством дошкольного образования от </w:t>
            </w:r>
            <w:proofErr w:type="gramStart"/>
            <w:r w:rsidRPr="00256BB9">
              <w:rPr>
                <w:sz w:val="20"/>
              </w:rPr>
              <w:t>общего  числа</w:t>
            </w:r>
            <w:proofErr w:type="gramEnd"/>
            <w:r w:rsidRPr="00256BB9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удовлетворенности населения качеством дошкольного образования от </w:t>
            </w:r>
            <w:proofErr w:type="gramStart"/>
            <w:r w:rsidRPr="00256BB9">
              <w:rPr>
                <w:sz w:val="20"/>
              </w:rPr>
              <w:t>общего  числа</w:t>
            </w:r>
            <w:proofErr w:type="gramEnd"/>
            <w:r w:rsidRPr="00256BB9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</w:t>
            </w:r>
            <w:proofErr w:type="gramStart"/>
            <w:r w:rsidRPr="00010354">
              <w:rPr>
                <w:sz w:val="20"/>
              </w:rPr>
              <w:t>населения  качеством</w:t>
            </w:r>
            <w:proofErr w:type="gramEnd"/>
            <w:r w:rsidRPr="00010354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10354">
              <w:rPr>
                <w:sz w:val="20"/>
              </w:rPr>
              <w:t>реализуются  основные</w:t>
            </w:r>
            <w:proofErr w:type="gramEnd"/>
            <w:r w:rsidRPr="00010354">
              <w:rPr>
                <w:sz w:val="20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</w:t>
            </w:r>
            <w:proofErr w:type="gramStart"/>
            <w:r w:rsidRPr="00010354">
              <w:rPr>
                <w:sz w:val="20"/>
              </w:rPr>
              <w:t>населения  качеством</w:t>
            </w:r>
            <w:proofErr w:type="gramEnd"/>
            <w:r w:rsidRPr="00010354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0F07A4">
        <w:trPr>
          <w:trHeight w:val="285"/>
        </w:trPr>
        <w:tc>
          <w:tcPr>
            <w:tcW w:w="1520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 xml:space="preserve">Задача 3 «Создание условий для повышения </w:t>
            </w:r>
            <w:proofErr w:type="gramStart"/>
            <w:r w:rsidRPr="00010354">
              <w:rPr>
                <w:b/>
                <w:sz w:val="20"/>
              </w:rPr>
              <w:t>эффективности  системы</w:t>
            </w:r>
            <w:proofErr w:type="gramEnd"/>
            <w:r w:rsidRPr="00010354">
              <w:rPr>
                <w:b/>
                <w:sz w:val="20"/>
              </w:rPr>
              <w:t xml:space="preserve"> дошкольного образования»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010354">
              <w:rPr>
                <w:sz w:val="20"/>
              </w:rPr>
              <w:t>руководящих  работников</w:t>
            </w:r>
            <w:proofErr w:type="gramEnd"/>
            <w:r w:rsidRPr="00010354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0F07A4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256BB9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354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</w:t>
            </w:r>
            <w:r w:rsidRPr="00BF4000">
              <w:rPr>
                <w:sz w:val="20"/>
              </w:rPr>
              <w:lastRenderedPageBreak/>
              <w:t xml:space="preserve">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</w:t>
            </w:r>
            <w:proofErr w:type="gramStart"/>
            <w:r w:rsidRPr="00256BB9">
              <w:rPr>
                <w:sz w:val="20"/>
              </w:rPr>
              <w:t>организаций,  участие</w:t>
            </w:r>
            <w:proofErr w:type="gramEnd"/>
            <w:r w:rsidRPr="00256BB9">
              <w:rPr>
                <w:sz w:val="20"/>
              </w:rPr>
              <w:t xml:space="preserve">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BF4000">
              <w:rPr>
                <w:color w:val="000000" w:themeColor="text1"/>
                <w:sz w:val="20"/>
              </w:rPr>
              <w:t>численности  руководящих</w:t>
            </w:r>
            <w:proofErr w:type="gramEnd"/>
            <w:r w:rsidRPr="00BF4000">
              <w:rPr>
                <w:color w:val="000000" w:themeColor="text1"/>
                <w:sz w:val="20"/>
              </w:rPr>
              <w:t xml:space="preserve">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0F07A4">
        <w:trPr>
          <w:trHeight w:val="246"/>
        </w:trPr>
        <w:tc>
          <w:tcPr>
            <w:tcW w:w="1520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DA3883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lastRenderedPageBreak/>
              <w:t>1</w:t>
            </w:r>
            <w:r w:rsidR="00D41256" w:rsidRPr="00DA3883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DA3883" w:rsidRDefault="00693C09" w:rsidP="00105305">
            <w:pPr>
              <w:rPr>
                <w:sz w:val="20"/>
              </w:rPr>
            </w:pPr>
            <w:r w:rsidRPr="00DA3883">
              <w:rPr>
                <w:sz w:val="20"/>
                <w:vertAlign w:val="superscript"/>
              </w:rPr>
              <w:t>**</w:t>
            </w:r>
            <w:r w:rsidR="009D2920" w:rsidRPr="00DA3883">
              <w:rPr>
                <w:sz w:val="20"/>
              </w:rPr>
              <w:t>Основное мероприятие 2.1.1.</w:t>
            </w:r>
          </w:p>
          <w:p w:rsidR="009D2920" w:rsidRPr="00DA3883" w:rsidRDefault="009D2920" w:rsidP="00105305">
            <w:pPr>
              <w:rPr>
                <w:sz w:val="20"/>
              </w:rPr>
            </w:pPr>
            <w:r w:rsidRPr="00DA3883">
              <w:rPr>
                <w:sz w:val="20"/>
              </w:rPr>
              <w:t xml:space="preserve">Обеспечение деятельности (оказание </w:t>
            </w:r>
            <w:proofErr w:type="gramStart"/>
            <w:r w:rsidRPr="00DA3883">
              <w:rPr>
                <w:sz w:val="20"/>
              </w:rPr>
              <w:t>услуг)  муниципальных</w:t>
            </w:r>
            <w:proofErr w:type="gramEnd"/>
            <w:r w:rsidRPr="00DA3883">
              <w:rPr>
                <w:sz w:val="20"/>
              </w:rPr>
              <w:t xml:space="preserve">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DA3883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DA3883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DA3883">
              <w:rPr>
                <w:sz w:val="20"/>
              </w:rPr>
              <w:t>бесплатного  начального</w:t>
            </w:r>
            <w:proofErr w:type="gramEnd"/>
            <w:r w:rsidRPr="00DA3883">
              <w:rPr>
                <w:sz w:val="20"/>
              </w:rPr>
              <w:t xml:space="preserve"> общего, основного общего , среднего общего образования</w:t>
            </w:r>
          </w:p>
          <w:p w:rsidR="009D2920" w:rsidRPr="00DA3883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DA3883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DA3883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DA3883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DA3883">
              <w:rPr>
                <w:sz w:val="20"/>
              </w:rPr>
              <w:t>ОО  качественного</w:t>
            </w:r>
            <w:proofErr w:type="gramEnd"/>
            <w:r w:rsidRPr="00DA3883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9D2920" w:rsidRPr="00DA3883" w:rsidRDefault="009D2920" w:rsidP="00105305">
            <w:pPr>
              <w:rPr>
                <w:sz w:val="20"/>
              </w:rPr>
            </w:pPr>
            <w:r w:rsidRPr="00DA3883">
              <w:rPr>
                <w:sz w:val="20"/>
              </w:rPr>
              <w:t>Доля выпускников 11 (</w:t>
            </w:r>
            <w:proofErr w:type="gramStart"/>
            <w:r w:rsidRPr="00DA3883">
              <w:rPr>
                <w:sz w:val="20"/>
              </w:rPr>
              <w:t>12)-</w:t>
            </w:r>
            <w:proofErr w:type="gramEnd"/>
            <w:r w:rsidRPr="00DA3883">
              <w:rPr>
                <w:sz w:val="20"/>
              </w:rPr>
              <w:t>х классов, получивших аттестат о среднем  общем образовании от общего числа выпускников 11 (12)-х классов</w:t>
            </w:r>
            <w:r w:rsidR="007274D0" w:rsidRPr="00DA3883">
              <w:rPr>
                <w:sz w:val="20"/>
              </w:rPr>
              <w:t>.</w:t>
            </w:r>
          </w:p>
          <w:p w:rsidR="00A20E9A" w:rsidRPr="00DA3883" w:rsidRDefault="00A20E9A" w:rsidP="00105305">
            <w:pPr>
              <w:rPr>
                <w:sz w:val="20"/>
              </w:rPr>
            </w:pPr>
            <w:r w:rsidRPr="00DA3883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 w:rsidRPr="00DA3883">
              <w:rPr>
                <w:color w:val="000000" w:themeColor="text1"/>
                <w:sz w:val="20"/>
              </w:rPr>
              <w:t>.</w:t>
            </w:r>
          </w:p>
          <w:p w:rsidR="009D2920" w:rsidRPr="00DA3883" w:rsidRDefault="009D2920" w:rsidP="00105305">
            <w:pPr>
              <w:rPr>
                <w:sz w:val="20"/>
              </w:rPr>
            </w:pPr>
            <w:r w:rsidRPr="00DA3883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 w:rsidRPr="00DA3883">
              <w:rPr>
                <w:sz w:val="20"/>
              </w:rPr>
              <w:t>.</w:t>
            </w:r>
          </w:p>
          <w:p w:rsidR="007D1B38" w:rsidRPr="00DA3883" w:rsidRDefault="007D1B38" w:rsidP="00105305">
            <w:pPr>
              <w:rPr>
                <w:sz w:val="20"/>
              </w:rPr>
            </w:pPr>
            <w:r w:rsidRPr="00DA3883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DA3883" w:rsidRDefault="009D2920" w:rsidP="00105305">
            <w:pPr>
              <w:rPr>
                <w:sz w:val="20"/>
              </w:rPr>
            </w:pPr>
          </w:p>
          <w:p w:rsidR="009D2920" w:rsidRPr="00DA3883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2.1.2. Реализация муниципальными дошкольными и </w:t>
            </w:r>
            <w:proofErr w:type="gramStart"/>
            <w:r w:rsidRPr="00256BB9">
              <w:rPr>
                <w:sz w:val="20"/>
              </w:rPr>
              <w:t>муниципальными  общеобразовательными</w:t>
            </w:r>
            <w:proofErr w:type="gramEnd"/>
            <w:r w:rsidRPr="00256BB9">
              <w:rPr>
                <w:sz w:val="20"/>
              </w:rPr>
              <w:t xml:space="preserve"> </w:t>
            </w:r>
            <w:r w:rsidRPr="00256BB9">
              <w:rPr>
                <w:sz w:val="20"/>
              </w:rPr>
              <w:lastRenderedPageBreak/>
              <w:t>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 xml:space="preserve">бесплатного  </w:t>
            </w:r>
            <w:r w:rsidRPr="00256BB9">
              <w:rPr>
                <w:sz w:val="20"/>
              </w:rPr>
              <w:lastRenderedPageBreak/>
              <w:t>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 xml:space="preserve">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</w:t>
            </w:r>
            <w:proofErr w:type="gramStart"/>
            <w:r w:rsidRPr="00BF4000">
              <w:rPr>
                <w:sz w:val="20"/>
              </w:rPr>
              <w:t>12)-</w:t>
            </w:r>
            <w:proofErr w:type="gramEnd"/>
            <w:r w:rsidRPr="00BF4000">
              <w:rPr>
                <w:sz w:val="20"/>
              </w:rPr>
              <w:t>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</w:t>
            </w:r>
            <w:r w:rsidRPr="00BF4000">
              <w:rPr>
                <w:sz w:val="20"/>
              </w:rPr>
              <w:lastRenderedPageBreak/>
              <w:t>общеобразовательных организациях, занимающихся во вторую (третью) смену, в 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t>Количество образовательных организаций</w:t>
            </w:r>
            <w:proofErr w:type="gramEnd"/>
            <w:r w:rsidRPr="00BF4000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</w:t>
            </w:r>
            <w:r w:rsidRPr="00BF4000">
              <w:rPr>
                <w:sz w:val="20"/>
              </w:rPr>
              <w:lastRenderedPageBreak/>
              <w:t>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lastRenderedPageBreak/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DA6923" w:rsidRPr="00010354" w:rsidRDefault="00DA6923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DA6923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0F07A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4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</w:t>
            </w:r>
            <w:r w:rsidRPr="00256BB9">
              <w:rPr>
                <w:sz w:val="20"/>
              </w:rPr>
              <w:lastRenderedPageBreak/>
              <w:t>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4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BF4000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BF4000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E8540C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</w:t>
            </w:r>
            <w:r w:rsidRPr="00256BB9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 xml:space="preserve">, общедоступного и бесплатного  начального общего, </w:t>
            </w:r>
            <w:r w:rsidRPr="00256BB9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0F07A4">
        <w:trPr>
          <w:trHeight w:val="262"/>
        </w:trPr>
        <w:tc>
          <w:tcPr>
            <w:tcW w:w="1520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Оснащение </w:t>
            </w:r>
            <w:proofErr w:type="gramStart"/>
            <w:r w:rsidRPr="00256BB9">
              <w:rPr>
                <w:sz w:val="20"/>
              </w:rPr>
              <w:t>общеобразовательных  организаций</w:t>
            </w:r>
            <w:proofErr w:type="gramEnd"/>
            <w:r w:rsidRPr="00256BB9">
              <w:rPr>
                <w:sz w:val="20"/>
              </w:rPr>
              <w:t xml:space="preserve">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для которых </w:t>
            </w:r>
            <w:proofErr w:type="gramStart"/>
            <w:r w:rsidRPr="00BF4000">
              <w:rPr>
                <w:sz w:val="20"/>
              </w:rPr>
              <w:t>созданы  все</w:t>
            </w:r>
            <w:proofErr w:type="gramEnd"/>
            <w:r w:rsidRPr="00BF4000">
              <w:rPr>
                <w:sz w:val="20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800A2A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800A2A" w:rsidRPr="00256BB9" w:rsidRDefault="00800A2A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938" w:type="dxa"/>
            <w:shd w:val="clear" w:color="auto" w:fill="auto"/>
          </w:tcPr>
          <w:p w:rsidR="00800A2A" w:rsidRPr="00256BB9" w:rsidRDefault="00800A2A" w:rsidP="00105305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7" w:type="dxa"/>
            <w:shd w:val="clear" w:color="auto" w:fill="auto"/>
          </w:tcPr>
          <w:p w:rsidR="00800A2A" w:rsidRPr="00256BB9" w:rsidRDefault="00800A2A" w:rsidP="00105305">
            <w:pPr>
              <w:tabs>
                <w:tab w:val="left" w:pos="1380"/>
              </w:tabs>
              <w:rPr>
                <w:sz w:val="20"/>
              </w:rPr>
            </w:pPr>
            <w:r w:rsidRPr="00800A2A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00A2A" w:rsidRPr="00256BB9" w:rsidRDefault="00800A2A" w:rsidP="00D355BB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</w:t>
            </w:r>
            <w:r w:rsidR="00073EAC">
              <w:rPr>
                <w:sz w:val="20"/>
              </w:rPr>
              <w:t>1</w:t>
            </w:r>
            <w:r>
              <w:rPr>
                <w:sz w:val="20"/>
              </w:rPr>
              <w:t>.2022</w:t>
            </w:r>
          </w:p>
        </w:tc>
        <w:tc>
          <w:tcPr>
            <w:tcW w:w="1417" w:type="dxa"/>
          </w:tcPr>
          <w:p w:rsidR="00800A2A" w:rsidRPr="00256BB9" w:rsidRDefault="00800A2A" w:rsidP="00E024CE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</w:t>
            </w:r>
            <w:r w:rsidR="00E024CE">
              <w:rPr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00A2A" w:rsidRPr="00073EAC" w:rsidRDefault="007076C5" w:rsidP="00105305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4" w:type="dxa"/>
            <w:shd w:val="clear" w:color="auto" w:fill="auto"/>
          </w:tcPr>
          <w:p w:rsidR="00982B6C" w:rsidRPr="00073EAC" w:rsidRDefault="00982B6C" w:rsidP="00982B6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Снижение уровня физической активности учащихся</w:t>
            </w:r>
          </w:p>
          <w:p w:rsidR="00800A2A" w:rsidRPr="00073EAC" w:rsidRDefault="00800A2A" w:rsidP="00982B6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00A2A" w:rsidRPr="00073EAC" w:rsidRDefault="007076C5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124DF8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124DF8" w:rsidRDefault="00124DF8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938" w:type="dxa"/>
            <w:shd w:val="clear" w:color="auto" w:fill="auto"/>
          </w:tcPr>
          <w:p w:rsidR="00124DF8" w:rsidRPr="007076C5" w:rsidRDefault="00124DF8" w:rsidP="00574DF9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</w:t>
            </w:r>
            <w:r>
              <w:rPr>
                <w:sz w:val="20"/>
              </w:rPr>
              <w:t>3</w:t>
            </w:r>
            <w:r w:rsidRPr="007076C5">
              <w:rPr>
                <w:sz w:val="20"/>
              </w:rPr>
              <w:t xml:space="preserve">. </w:t>
            </w:r>
            <w:r w:rsidRPr="00574DF9">
              <w:rPr>
                <w:sz w:val="20"/>
              </w:rPr>
              <w:t>Реализация инвестиционных проектов строительства объектов социальной сферы</w:t>
            </w:r>
          </w:p>
        </w:tc>
        <w:tc>
          <w:tcPr>
            <w:tcW w:w="1417" w:type="dxa"/>
            <w:shd w:val="clear" w:color="auto" w:fill="auto"/>
          </w:tcPr>
          <w:p w:rsidR="00DC1831" w:rsidRDefault="00124DF8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МКУ «Управление капитального строитель</w:t>
            </w:r>
            <w:r w:rsidR="00DC1831">
              <w:rPr>
                <w:sz w:val="20"/>
              </w:rPr>
              <w:t>-</w:t>
            </w:r>
          </w:p>
          <w:p w:rsidR="00124DF8" w:rsidRPr="00800A2A" w:rsidRDefault="00DC1831" w:rsidP="00DC1831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r w:rsidR="00124DF8">
              <w:rPr>
                <w:sz w:val="20"/>
              </w:rPr>
              <w:t>тва</w:t>
            </w:r>
            <w:proofErr w:type="spellEnd"/>
            <w:r w:rsidR="00124DF8">
              <w:rPr>
                <w:sz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124DF8" w:rsidRPr="00256BB9" w:rsidRDefault="00124DF8" w:rsidP="00574DF9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01.03.2022</w:t>
            </w:r>
          </w:p>
        </w:tc>
        <w:tc>
          <w:tcPr>
            <w:tcW w:w="1417" w:type="dxa"/>
          </w:tcPr>
          <w:p w:rsidR="00124DF8" w:rsidRPr="00256BB9" w:rsidRDefault="00124DF8" w:rsidP="00574DF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31.12.2022</w:t>
            </w:r>
          </w:p>
        </w:tc>
        <w:tc>
          <w:tcPr>
            <w:tcW w:w="1985" w:type="dxa"/>
            <w:shd w:val="clear" w:color="auto" w:fill="auto"/>
          </w:tcPr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73EAC">
              <w:rPr>
                <w:sz w:val="20"/>
              </w:rPr>
              <w:t>бесплатного  начального</w:t>
            </w:r>
            <w:proofErr w:type="gramEnd"/>
            <w:r w:rsidRPr="00073EAC">
              <w:rPr>
                <w:sz w:val="20"/>
              </w:rPr>
              <w:t xml:space="preserve"> общего, основного </w:t>
            </w:r>
            <w:r w:rsidR="009A6A55" w:rsidRPr="00073EAC">
              <w:rPr>
                <w:sz w:val="20"/>
              </w:rPr>
              <w:t>общего</w:t>
            </w:r>
            <w:r w:rsidRPr="00073EAC">
              <w:rPr>
                <w:sz w:val="20"/>
              </w:rPr>
              <w:t>, среднего общего образования</w:t>
            </w:r>
          </w:p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4DF8" w:rsidRPr="00073EAC" w:rsidRDefault="00124DF8" w:rsidP="00317A0B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Отсутствие возможностей для получения учащимися </w:t>
            </w:r>
            <w:r w:rsidR="00317A0B" w:rsidRPr="00073EAC">
              <w:rPr>
                <w:sz w:val="20"/>
              </w:rPr>
              <w:t xml:space="preserve">образовательных </w:t>
            </w:r>
            <w:proofErr w:type="gramStart"/>
            <w:r w:rsidR="00317A0B" w:rsidRPr="00073EAC">
              <w:rPr>
                <w:sz w:val="20"/>
              </w:rPr>
              <w:t>организаций</w:t>
            </w:r>
            <w:r w:rsidRPr="00073EAC">
              <w:rPr>
                <w:sz w:val="20"/>
              </w:rPr>
              <w:t xml:space="preserve">  качественного</w:t>
            </w:r>
            <w:proofErr w:type="gramEnd"/>
            <w:r w:rsidRPr="00073EAC">
              <w:rPr>
                <w:sz w:val="20"/>
              </w:rPr>
              <w:t xml:space="preserve">, общедоступного и бесплатного  начального общего, основного общего, </w:t>
            </w:r>
            <w:r w:rsidRPr="00073EAC">
              <w:rPr>
                <w:sz w:val="20"/>
              </w:rPr>
              <w:lastRenderedPageBreak/>
              <w:t>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124DF8" w:rsidRPr="00073EAC" w:rsidRDefault="00124DF8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110D88" w:rsidRPr="00256BB9" w:rsidTr="000F07A4">
        <w:trPr>
          <w:trHeight w:val="241"/>
        </w:trPr>
        <w:tc>
          <w:tcPr>
            <w:tcW w:w="1520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0F07A4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5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Будет продолжена модернизация содержания и методов </w:t>
            </w:r>
            <w:proofErr w:type="gramStart"/>
            <w:r w:rsidRPr="00256BB9">
              <w:rPr>
                <w:sz w:val="20"/>
              </w:rPr>
              <w:t>обучения  на</w:t>
            </w:r>
            <w:proofErr w:type="gramEnd"/>
            <w:r w:rsidRPr="00256BB9">
              <w:rPr>
                <w:sz w:val="20"/>
              </w:rPr>
              <w:t xml:space="preserve">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</w:t>
            </w:r>
            <w:proofErr w:type="gramStart"/>
            <w:r w:rsidRPr="00256BB9">
              <w:rPr>
                <w:sz w:val="20"/>
              </w:rPr>
              <w:t>роста  профессионального</w:t>
            </w:r>
            <w:proofErr w:type="gramEnd"/>
            <w:r w:rsidRPr="00256BB9">
              <w:rPr>
                <w:sz w:val="20"/>
              </w:rPr>
              <w:t xml:space="preserve"> мастерства среди педагогов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BF4000">
              <w:rPr>
                <w:rFonts w:ascii="Times New Roman" w:hAnsi="Times New Roman" w:cs="Times New Roman"/>
              </w:rPr>
              <w:t>муниципальных)  общеобразовательных</w:t>
            </w:r>
            <w:proofErr w:type="gramEnd"/>
            <w:r w:rsidRPr="00BF4000">
              <w:rPr>
                <w:rFonts w:ascii="Times New Roman" w:hAnsi="Times New Roman" w:cs="Times New Roman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BF400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BF4000">
              <w:rPr>
                <w:rFonts w:ascii="Times New Roman" w:hAnsi="Times New Roman" w:cs="Times New Roman"/>
              </w:rPr>
              <w:t>первую квалификационные категории</w:t>
            </w:r>
            <w:proofErr w:type="gramEnd"/>
            <w:r w:rsidRPr="00BF4000">
              <w:rPr>
                <w:rFonts w:ascii="Times New Roman" w:hAnsi="Times New Roman" w:cs="Times New Roman"/>
              </w:rPr>
              <w:t xml:space="preserve">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BF4000">
              <w:rPr>
                <w:rFonts w:ascii="Times New Roman" w:hAnsi="Times New Roman" w:cs="Times New Roman"/>
                <w:color w:val="000000" w:themeColor="text1"/>
              </w:rPr>
              <w:t>численности  руководящих</w:t>
            </w:r>
            <w:proofErr w:type="gramEnd"/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Размер средней заработной платы педагогических работников образовательных организаций в </w:t>
            </w:r>
            <w:r w:rsidRPr="00BF4000">
              <w:rPr>
                <w:rFonts w:ascii="Times New Roman" w:hAnsi="Times New Roman" w:cs="Times New Roman"/>
              </w:rPr>
              <w:lastRenderedPageBreak/>
              <w:t>муниципальном районе.</w:t>
            </w:r>
          </w:p>
        </w:tc>
      </w:tr>
      <w:tr w:rsidR="008E3784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Доля обучающихся, изучающих </w:t>
            </w:r>
            <w:proofErr w:type="spellStart"/>
            <w:r w:rsidRPr="00BF4000">
              <w:rPr>
                <w:rFonts w:ascii="Times New Roman" w:hAnsi="Times New Roman" w:cs="Times New Roman"/>
              </w:rPr>
              <w:t>коми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кабинетов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</w:t>
            </w:r>
            <w:proofErr w:type="gramStart"/>
            <w:r w:rsidRPr="00BF4000">
              <w:rPr>
                <w:sz w:val="20"/>
              </w:rPr>
              <w:t>языка,  оснащенных</w:t>
            </w:r>
            <w:proofErr w:type="gramEnd"/>
            <w:r w:rsidRPr="00BF4000">
              <w:rPr>
                <w:sz w:val="20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t>Доля  учителей</w:t>
            </w:r>
            <w:proofErr w:type="gramEnd"/>
            <w:r w:rsidRPr="00BF4000">
              <w:rPr>
                <w:sz w:val="20"/>
              </w:rPr>
              <w:t xml:space="preserve"> 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изучающих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язык, от общего количества обучающихся.</w:t>
            </w:r>
          </w:p>
        </w:tc>
      </w:tr>
      <w:tr w:rsidR="004960C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354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0F07A4">
        <w:trPr>
          <w:trHeight w:val="273"/>
        </w:trPr>
        <w:tc>
          <w:tcPr>
            <w:tcW w:w="1520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</w:t>
            </w:r>
            <w:proofErr w:type="gramStart"/>
            <w:r w:rsidRPr="00256BB9">
              <w:rPr>
                <w:b/>
                <w:sz w:val="20"/>
              </w:rPr>
              <w:t xml:space="preserve">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</w:t>
            </w:r>
            <w:proofErr w:type="gramEnd"/>
            <w:r w:rsidRPr="00256BB9">
              <w:rPr>
                <w:b/>
                <w:sz w:val="20"/>
              </w:rPr>
              <w:t>Дети и Молодежь»</w:t>
            </w:r>
          </w:p>
        </w:tc>
      </w:tr>
      <w:tr w:rsidR="009C4DAA" w:rsidRPr="00256BB9" w:rsidTr="000F07A4">
        <w:trPr>
          <w:trHeight w:val="278"/>
        </w:trPr>
        <w:tc>
          <w:tcPr>
            <w:tcW w:w="1520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0F07A4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</w:t>
            </w:r>
            <w:r w:rsidRPr="00BF4000">
              <w:rPr>
                <w:color w:val="000000" w:themeColor="text1"/>
                <w:sz w:val="20"/>
              </w:rPr>
              <w:lastRenderedPageBreak/>
              <w:t>деятельности.</w:t>
            </w:r>
          </w:p>
          <w:p w:rsidR="00D72648" w:rsidRPr="00BF4000" w:rsidRDefault="00D72648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D72648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800A2A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iCs/>
                <w:sz w:val="20"/>
              </w:rPr>
              <w:t>Будут  созданы</w:t>
            </w:r>
            <w:proofErr w:type="gramEnd"/>
            <w:r w:rsidRPr="00256BB9">
              <w:rPr>
                <w:iCs/>
                <w:sz w:val="20"/>
              </w:rPr>
              <w:t xml:space="preserve">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256BB9">
              <w:rPr>
                <w:sz w:val="20"/>
              </w:rPr>
              <w:lastRenderedPageBreak/>
              <w:t>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компенсации</w:t>
            </w:r>
          </w:p>
        </w:tc>
      </w:tr>
      <w:tr w:rsidR="00C8667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Мероприятия, связанные с повышением </w:t>
            </w:r>
            <w:r w:rsidR="00241319">
              <w:rPr>
                <w:sz w:val="20"/>
              </w:rPr>
              <w:t xml:space="preserve">оплаты </w:t>
            </w:r>
            <w:r w:rsidRPr="00256BB9">
              <w:rPr>
                <w:sz w:val="20"/>
              </w:rPr>
              <w:t>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F10563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BF1DAF">
              <w:rPr>
                <w:rFonts w:eastAsia="Calibri"/>
                <w:sz w:val="20"/>
              </w:rPr>
              <w:t xml:space="preserve"> детей</w:t>
            </w:r>
            <w:r w:rsidRPr="00256BB9">
              <w:rPr>
                <w:rFonts w:eastAsia="Calibri"/>
                <w:sz w:val="20"/>
              </w:rPr>
              <w:t xml:space="preserve"> в муниципальном образовании</w:t>
            </w:r>
            <w:r w:rsidRPr="00256BB9">
              <w:rPr>
                <w:sz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3544" w:type="dxa"/>
            <w:shd w:val="clear" w:color="auto" w:fill="auto"/>
          </w:tcPr>
          <w:p w:rsidR="00965443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детей</w:t>
            </w:r>
            <w:r w:rsidRPr="00BF4000">
              <w:rPr>
                <w:rFonts w:eastAsia="Calibri"/>
                <w:sz w:val="20"/>
              </w:rPr>
              <w:t xml:space="preserve">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  <w:bookmarkStart w:id="0" w:name="_GoBack"/>
            <w:bookmarkEnd w:id="0"/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="004A72E4">
              <w:rPr>
                <w:rFonts w:eastAsia="Calibri"/>
                <w:sz w:val="20"/>
              </w:rPr>
              <w:t>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учреждений дополнительного </w:t>
            </w:r>
            <w:proofErr w:type="gramStart"/>
            <w:r w:rsidRPr="00BF4000">
              <w:rPr>
                <w:rFonts w:eastAsia="Calibri"/>
                <w:sz w:val="20"/>
              </w:rPr>
              <w:t>образования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Pr="00BF4000">
              <w:rPr>
                <w:rFonts w:eastAsia="Calibri"/>
                <w:sz w:val="20"/>
              </w:rPr>
              <w:t xml:space="preserve"> подведомственных</w:t>
            </w:r>
            <w:proofErr w:type="gramEnd"/>
            <w:r w:rsidRPr="00BF4000">
              <w:rPr>
                <w:rFonts w:eastAsia="Calibri"/>
                <w:sz w:val="20"/>
              </w:rPr>
              <w:t xml:space="preserve">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DD6CF6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Введение и обеспечение функционирования системы </w:t>
            </w:r>
            <w:proofErr w:type="gramStart"/>
            <w:r w:rsidRPr="00256BB9">
              <w:rPr>
                <w:sz w:val="20"/>
              </w:rPr>
              <w:t>персонифицированного  дополнительного</w:t>
            </w:r>
            <w:proofErr w:type="gramEnd"/>
            <w:r w:rsidRPr="00256BB9">
              <w:rPr>
                <w:sz w:val="20"/>
              </w:rPr>
              <w:t xml:space="preserve">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</w:t>
            </w:r>
            <w:proofErr w:type="gramStart"/>
            <w:r w:rsidRPr="00256BB9">
              <w:rPr>
                <w:sz w:val="20"/>
              </w:rPr>
              <w:t>в дополнительном образования</w:t>
            </w:r>
            <w:proofErr w:type="gramEnd"/>
            <w:r w:rsidRPr="00256BB9">
              <w:rPr>
                <w:sz w:val="20"/>
              </w:rPr>
              <w:t xml:space="preserve">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персонифицированного </w:t>
            </w:r>
            <w:r w:rsidRPr="00BF4000">
              <w:rPr>
                <w:sz w:val="20"/>
              </w:rPr>
              <w:lastRenderedPageBreak/>
              <w:t>финансирования.</w:t>
            </w:r>
          </w:p>
        </w:tc>
      </w:tr>
      <w:tr w:rsidR="00915EB1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 xml:space="preserve">состоящих </w:t>
            </w:r>
            <w:proofErr w:type="gramStart"/>
            <w:r w:rsidRPr="00256BB9">
              <w:rPr>
                <w:iCs/>
                <w:sz w:val="20"/>
              </w:rPr>
              <w:t xml:space="preserve">на  </w:t>
            </w:r>
            <w:proofErr w:type="spellStart"/>
            <w:r w:rsidRPr="00256BB9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256BB9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Низкий </w:t>
            </w:r>
            <w:proofErr w:type="gramStart"/>
            <w:r w:rsidRPr="00256BB9">
              <w:rPr>
                <w:sz w:val="20"/>
              </w:rPr>
              <w:t>процент  охвата</w:t>
            </w:r>
            <w:proofErr w:type="gramEnd"/>
            <w:r w:rsidRPr="00256BB9">
              <w:rPr>
                <w:sz w:val="20"/>
              </w:rPr>
              <w:t xml:space="preserve"> детей, занятых внеурочной деятельностью</w:t>
            </w:r>
          </w:p>
        </w:tc>
        <w:tc>
          <w:tcPr>
            <w:tcW w:w="354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Удельный вес детей, состоящих </w:t>
            </w:r>
            <w:proofErr w:type="gramStart"/>
            <w:r w:rsidRPr="00BF4000">
              <w:rPr>
                <w:iCs/>
                <w:sz w:val="20"/>
              </w:rPr>
              <w:t xml:space="preserve">на  </w:t>
            </w:r>
            <w:proofErr w:type="spellStart"/>
            <w:r w:rsidRPr="00BF400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BF400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0F07A4">
        <w:trPr>
          <w:trHeight w:val="301"/>
        </w:trPr>
        <w:tc>
          <w:tcPr>
            <w:tcW w:w="1520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6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proofErr w:type="gramStart"/>
            <w:r w:rsidRPr="00256BB9">
              <w:rPr>
                <w:sz w:val="20"/>
              </w:rPr>
              <w:t>района  «</w:t>
            </w:r>
            <w:proofErr w:type="gramEnd"/>
            <w:r w:rsidRPr="00256BB9">
              <w:rPr>
                <w:sz w:val="20"/>
              </w:rPr>
              <w:t>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iCs/>
                <w:sz w:val="20"/>
              </w:rPr>
              <w:t>Будут  созданы</w:t>
            </w:r>
            <w:proofErr w:type="gramEnd"/>
            <w:r w:rsidRPr="00256BB9">
              <w:rPr>
                <w:iCs/>
                <w:sz w:val="20"/>
              </w:rPr>
              <w:t xml:space="preserve">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4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Доля молодежи в возрасте 14-30 лет, участвующих в программах по развитию </w:t>
            </w:r>
            <w:proofErr w:type="gramStart"/>
            <w:r w:rsidRPr="00BF4000">
              <w:rPr>
                <w:sz w:val="20"/>
              </w:rPr>
              <w:t>инновационного  и</w:t>
            </w:r>
            <w:proofErr w:type="gramEnd"/>
            <w:r w:rsidRPr="00BF400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4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BF4000">
              <w:rPr>
                <w:iCs/>
                <w:sz w:val="20"/>
              </w:rPr>
              <w:t xml:space="preserve">молодежи  </w:t>
            </w:r>
            <w:r w:rsidRPr="00BF4000">
              <w:rPr>
                <w:sz w:val="20"/>
              </w:rPr>
              <w:t>чувства</w:t>
            </w:r>
            <w:proofErr w:type="gramEnd"/>
            <w:r w:rsidRPr="00BF4000">
              <w:rPr>
                <w:sz w:val="20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0F07A4">
        <w:trPr>
          <w:trHeight w:val="513"/>
        </w:trPr>
        <w:tc>
          <w:tcPr>
            <w:tcW w:w="1520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</w:t>
            </w:r>
            <w:proofErr w:type="gramStart"/>
            <w:r w:rsidRPr="00256BB9">
              <w:rPr>
                <w:sz w:val="20"/>
              </w:rPr>
              <w:t>молодежной  среде</w:t>
            </w:r>
            <w:proofErr w:type="gramEnd"/>
            <w:r w:rsidRPr="00256BB9">
              <w:rPr>
                <w:sz w:val="20"/>
              </w:rPr>
              <w:t xml:space="preserve"> поведенческих установок к здоровому образу жизни </w:t>
            </w:r>
          </w:p>
        </w:tc>
        <w:tc>
          <w:tcPr>
            <w:tcW w:w="354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BF4000">
              <w:rPr>
                <w:sz w:val="20"/>
              </w:rPr>
              <w:lastRenderedPageBreak/>
              <w:t>молодежи, проживающей на территории муниципального образования</w:t>
            </w:r>
          </w:p>
        </w:tc>
      </w:tr>
      <w:tr w:rsidR="001301D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 xml:space="preserve">Стимулирование активного участия </w:t>
            </w:r>
            <w:proofErr w:type="gramStart"/>
            <w:r w:rsidRPr="00256BB9">
              <w:rPr>
                <w:iCs/>
                <w:sz w:val="20"/>
              </w:rPr>
              <w:t>молодежи  в</w:t>
            </w:r>
            <w:proofErr w:type="gramEnd"/>
            <w:r w:rsidRPr="00256BB9">
              <w:rPr>
                <w:iCs/>
                <w:sz w:val="20"/>
              </w:rPr>
              <w:t xml:space="preserve">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4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BF4000">
              <w:rPr>
                <w:sz w:val="20"/>
              </w:rPr>
              <w:t>инновационного  и</w:t>
            </w:r>
            <w:proofErr w:type="gramEnd"/>
            <w:r w:rsidRPr="00BF400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0F07A4" w:rsidP="006318E8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CE169D">
              <w:rPr>
                <w:sz w:val="20"/>
              </w:rPr>
              <w:t>Снижение  у</w:t>
            </w:r>
            <w:proofErr w:type="gramEnd"/>
            <w:r w:rsidRPr="00CE169D">
              <w:rPr>
                <w:sz w:val="20"/>
              </w:rPr>
              <w:t xml:space="preserve"> молодёжи предубеждений и стереотипов в сфере межличностного общения</w:t>
            </w:r>
          </w:p>
        </w:tc>
        <w:tc>
          <w:tcPr>
            <w:tcW w:w="354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 xml:space="preserve">Доля учащихся, охваченных мероприятиями, </w:t>
            </w:r>
            <w:proofErr w:type="gramStart"/>
            <w:r w:rsidRPr="00047A48">
              <w:rPr>
                <w:sz w:val="20"/>
              </w:rPr>
              <w:t>направленными  на</w:t>
            </w:r>
            <w:proofErr w:type="gramEnd"/>
            <w:r w:rsidRPr="00047A48">
              <w:rPr>
                <w:sz w:val="20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0F07A4">
        <w:trPr>
          <w:trHeight w:val="330"/>
        </w:trPr>
        <w:tc>
          <w:tcPr>
            <w:tcW w:w="1520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proofErr w:type="gramStart"/>
            <w:r w:rsidRPr="00256BB9">
              <w:rPr>
                <w:rFonts w:ascii="Times New Roman" w:hAnsi="Times New Roman" w:cs="Times New Roman"/>
                <w:b/>
              </w:rPr>
              <w:t>4  «</w:t>
            </w:r>
            <w:proofErr w:type="gramEnd"/>
            <w:r w:rsidRPr="00256BB9">
              <w:rPr>
                <w:rFonts w:ascii="Times New Roman" w:hAnsi="Times New Roman" w:cs="Times New Roman"/>
                <w:b/>
              </w:rPr>
              <w:t>Оздоровление, отдых детей и трудоустройство подростков»</w:t>
            </w:r>
          </w:p>
        </w:tc>
      </w:tr>
      <w:tr w:rsidR="00D41256" w:rsidRPr="00256BB9" w:rsidTr="000F07A4">
        <w:trPr>
          <w:trHeight w:val="537"/>
        </w:trPr>
        <w:tc>
          <w:tcPr>
            <w:tcW w:w="1520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</w:t>
            </w:r>
            <w:proofErr w:type="gramStart"/>
            <w:r w:rsidRPr="00256BB9">
              <w:rPr>
                <w:rFonts w:eastAsia="Arial"/>
                <w:b/>
                <w:sz w:val="20"/>
              </w:rPr>
              <w:t>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</w:t>
            </w:r>
            <w:proofErr w:type="gramEnd"/>
            <w:r w:rsidR="002A4D4B" w:rsidRPr="00256BB9">
              <w:rPr>
                <w:rFonts w:eastAsia="Arial"/>
                <w:b/>
                <w:sz w:val="20"/>
              </w:rPr>
              <w:t xml:space="preserve">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800A2A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Сохранение  показателей</w:t>
            </w:r>
            <w:proofErr w:type="gramEnd"/>
            <w:r w:rsidRPr="00256BB9">
              <w:rPr>
                <w:sz w:val="20"/>
              </w:rPr>
              <w:t xml:space="preserve">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Уменьшение </w:t>
            </w:r>
            <w:proofErr w:type="gramStart"/>
            <w:r w:rsidRPr="00256BB9">
              <w:rPr>
                <w:sz w:val="20"/>
              </w:rPr>
              <w:t>показателей  по</w:t>
            </w:r>
            <w:proofErr w:type="gramEnd"/>
            <w:r w:rsidRPr="00256BB9">
              <w:rPr>
                <w:sz w:val="20"/>
              </w:rPr>
              <w:t xml:space="preserve">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4.1.2 Информационно – методическое и кадровое обеспечение системы </w:t>
            </w:r>
            <w:proofErr w:type="gramStart"/>
            <w:r w:rsidRPr="00256BB9">
              <w:rPr>
                <w:sz w:val="20"/>
              </w:rPr>
              <w:t>оздоровления ,</w:t>
            </w:r>
            <w:proofErr w:type="gramEnd"/>
            <w:r w:rsidRPr="00256BB9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proofErr w:type="spellStart"/>
            <w:r w:rsidRPr="00256BB9">
              <w:rPr>
                <w:sz w:val="20"/>
              </w:rPr>
              <w:t>ность</w:t>
            </w:r>
            <w:proofErr w:type="spellEnd"/>
            <w:proofErr w:type="gramEnd"/>
            <w:r w:rsidRPr="00256BB9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жизнедеятельности, воспитания и педагогического сопровождения детей Обеспечение временной занятостью несовершеннолетни</w:t>
            </w:r>
            <w:r w:rsidRPr="00256BB9">
              <w:rPr>
                <w:sz w:val="20"/>
              </w:rPr>
              <w:lastRenderedPageBreak/>
              <w:t xml:space="preserve">х граждан в </w:t>
            </w:r>
            <w:proofErr w:type="gramStart"/>
            <w:r w:rsidRPr="00256BB9">
              <w:rPr>
                <w:sz w:val="20"/>
              </w:rPr>
              <w:t xml:space="preserve">возрасте  </w:t>
            </w:r>
            <w:r w:rsidRPr="00256BB9">
              <w:rPr>
                <w:sz w:val="20"/>
              </w:rPr>
              <w:br/>
              <w:t>от</w:t>
            </w:r>
            <w:proofErr w:type="gramEnd"/>
            <w:r w:rsidRPr="00256BB9">
              <w:rPr>
                <w:sz w:val="20"/>
              </w:rPr>
              <w:t xml:space="preserve">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354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0F07A4">
        <w:trPr>
          <w:trHeight w:val="244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0F07A4">
        <w:trPr>
          <w:trHeight w:val="545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4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proofErr w:type="gramStart"/>
      <w:r>
        <w:t xml:space="preserve">Примечание  </w:t>
      </w:r>
      <w:r w:rsidRPr="008C124E">
        <w:rPr>
          <w:sz w:val="22"/>
        </w:rPr>
        <w:t>*</w:t>
      </w:r>
      <w:proofErr w:type="gramEnd"/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883" w:rsidRDefault="00DA3883">
      <w:r>
        <w:separator/>
      </w:r>
    </w:p>
  </w:endnote>
  <w:endnote w:type="continuationSeparator" w:id="0">
    <w:p w:rsidR="00DA3883" w:rsidRDefault="00DA3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83" w:rsidRDefault="00DA388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A3883" w:rsidRDefault="00DA3883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83" w:rsidRDefault="00DA388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8A74D6">
      <w:rPr>
        <w:rStyle w:val="af6"/>
        <w:noProof/>
      </w:rPr>
      <w:t>21</w:t>
    </w:r>
    <w:r>
      <w:rPr>
        <w:rStyle w:val="af6"/>
      </w:rPr>
      <w:fldChar w:fldCharType="end"/>
    </w:r>
  </w:p>
  <w:p w:rsidR="00DA3883" w:rsidRDefault="00DA3883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883" w:rsidRDefault="00DA3883">
      <w:r>
        <w:separator/>
      </w:r>
    </w:p>
  </w:footnote>
  <w:footnote w:type="continuationSeparator" w:id="0">
    <w:p w:rsidR="00DA3883" w:rsidRDefault="00DA3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5721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3EAC"/>
    <w:rsid w:val="00075F81"/>
    <w:rsid w:val="00076227"/>
    <w:rsid w:val="00077614"/>
    <w:rsid w:val="0008580A"/>
    <w:rsid w:val="00087022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7A4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4DF8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1319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64776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17A0B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91C4B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5ACA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61F2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33C9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4DF9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4B58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0573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076C5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0A2A"/>
    <w:rsid w:val="00804110"/>
    <w:rsid w:val="00804CE2"/>
    <w:rsid w:val="0081015A"/>
    <w:rsid w:val="00810E86"/>
    <w:rsid w:val="00810F20"/>
    <w:rsid w:val="00812846"/>
    <w:rsid w:val="008158F4"/>
    <w:rsid w:val="00816CC9"/>
    <w:rsid w:val="00817013"/>
    <w:rsid w:val="00817296"/>
    <w:rsid w:val="00817417"/>
    <w:rsid w:val="008241C0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A74D6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82B6C"/>
    <w:rsid w:val="0099052D"/>
    <w:rsid w:val="0099727A"/>
    <w:rsid w:val="009A0C00"/>
    <w:rsid w:val="009A1702"/>
    <w:rsid w:val="009A18BC"/>
    <w:rsid w:val="009A2825"/>
    <w:rsid w:val="009A2F4C"/>
    <w:rsid w:val="009A59BC"/>
    <w:rsid w:val="009A6A55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63F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1DAF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5BB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47101"/>
    <w:rsid w:val="00D55D0A"/>
    <w:rsid w:val="00D57EBA"/>
    <w:rsid w:val="00D626E5"/>
    <w:rsid w:val="00D63DE8"/>
    <w:rsid w:val="00D67339"/>
    <w:rsid w:val="00D72648"/>
    <w:rsid w:val="00D73101"/>
    <w:rsid w:val="00D7597A"/>
    <w:rsid w:val="00D83F9E"/>
    <w:rsid w:val="00D8435B"/>
    <w:rsid w:val="00D867B3"/>
    <w:rsid w:val="00D87632"/>
    <w:rsid w:val="00D94D1C"/>
    <w:rsid w:val="00D97A40"/>
    <w:rsid w:val="00DA3883"/>
    <w:rsid w:val="00DA6923"/>
    <w:rsid w:val="00DB079E"/>
    <w:rsid w:val="00DB338B"/>
    <w:rsid w:val="00DB3F23"/>
    <w:rsid w:val="00DB6C8C"/>
    <w:rsid w:val="00DC1831"/>
    <w:rsid w:val="00DC1DB7"/>
    <w:rsid w:val="00DC2161"/>
    <w:rsid w:val="00DC235D"/>
    <w:rsid w:val="00DC5256"/>
    <w:rsid w:val="00DC5B75"/>
    <w:rsid w:val="00DC7622"/>
    <w:rsid w:val="00DD6CF6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24CE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3C01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0563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5C84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0DB09-3DE1-44C5-BB2B-4B391971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24545-182D-40A7-A47B-06449BDD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21</Pages>
  <Words>5950</Words>
  <Characters>33916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39787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48</cp:revision>
  <cp:lastPrinted>2022-08-08T14:21:00Z</cp:lastPrinted>
  <dcterms:created xsi:type="dcterms:W3CDTF">2022-02-15T12:05:00Z</dcterms:created>
  <dcterms:modified xsi:type="dcterms:W3CDTF">2023-01-23T12:23:00Z</dcterms:modified>
</cp:coreProperties>
</file>