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5E02E5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Приложение</w:t>
      </w:r>
    </w:p>
    <w:p w:rsidR="00D44BDE" w:rsidRPr="005E02E5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</w:t>
      </w:r>
      <w:r w:rsidR="00F52F8F">
        <w:rPr>
          <w:b w:val="0"/>
          <w:sz w:val="26"/>
          <w:szCs w:val="26"/>
        </w:rPr>
        <w:t xml:space="preserve">                          </w:t>
      </w:r>
      <w:r>
        <w:rPr>
          <w:b w:val="0"/>
          <w:sz w:val="26"/>
          <w:szCs w:val="26"/>
        </w:rPr>
        <w:t xml:space="preserve">               </w:t>
      </w:r>
      <w:r w:rsidR="00F52F8F">
        <w:rPr>
          <w:b w:val="0"/>
          <w:sz w:val="26"/>
          <w:szCs w:val="26"/>
        </w:rPr>
        <w:t xml:space="preserve">от </w:t>
      </w:r>
      <w:r w:rsidR="008D53BA">
        <w:rPr>
          <w:b w:val="0"/>
          <w:sz w:val="26"/>
          <w:szCs w:val="26"/>
        </w:rPr>
        <w:t>28 июня 2023 г</w:t>
      </w:r>
      <w:r w:rsidRPr="005E02E5">
        <w:rPr>
          <w:b w:val="0"/>
          <w:sz w:val="26"/>
          <w:szCs w:val="26"/>
        </w:rPr>
        <w:t xml:space="preserve">. № </w:t>
      </w:r>
      <w:r w:rsidR="008D53BA">
        <w:rPr>
          <w:b w:val="0"/>
          <w:sz w:val="26"/>
          <w:szCs w:val="26"/>
        </w:rPr>
        <w:t>1188</w:t>
      </w:r>
      <w:r>
        <w:rPr>
          <w:b w:val="0"/>
          <w:sz w:val="26"/>
          <w:szCs w:val="26"/>
        </w:rPr>
        <w:t xml:space="preserve"> </w:t>
      </w:r>
    </w:p>
    <w:p w:rsidR="005F5143" w:rsidRPr="00AB59C3" w:rsidRDefault="005F5143" w:rsidP="00D44BDE">
      <w:pPr>
        <w:pStyle w:val="ConsPlusTitle"/>
        <w:widowControl/>
        <w:jc w:val="center"/>
        <w:rPr>
          <w:b w:val="0"/>
        </w:rPr>
      </w:pPr>
    </w:p>
    <w:p w:rsidR="005F5143" w:rsidRPr="00AB59C3" w:rsidRDefault="005F5143" w:rsidP="005F5143">
      <w:pPr>
        <w:jc w:val="center"/>
      </w:pPr>
      <w:r w:rsidRPr="00AB59C3">
        <w:t>Изменения, вносимые в постановление администрации</w:t>
      </w:r>
    </w:p>
    <w:p w:rsidR="005F5143" w:rsidRPr="00AB59C3" w:rsidRDefault="005F5143" w:rsidP="005F5143">
      <w:pPr>
        <w:jc w:val="center"/>
      </w:pPr>
      <w:r w:rsidRPr="00AB59C3">
        <w:t>муниципального района «Печора» от 31.12.2019 г. № 1672</w:t>
      </w:r>
    </w:p>
    <w:p w:rsidR="005F5143" w:rsidRPr="00AB59C3" w:rsidRDefault="005F5143" w:rsidP="005F5143">
      <w:pPr>
        <w:jc w:val="center"/>
      </w:pPr>
      <w:r w:rsidRPr="00AB59C3">
        <w:t>«Об утверждении муниципальной программы МО МР «Печора»</w:t>
      </w:r>
    </w:p>
    <w:p w:rsidR="005F5143" w:rsidRPr="00AB59C3" w:rsidRDefault="005F5143" w:rsidP="005F5143">
      <w:pPr>
        <w:jc w:val="center"/>
      </w:pPr>
      <w:r w:rsidRPr="00AB59C3">
        <w:t>«Развитие образования»</w:t>
      </w:r>
    </w:p>
    <w:p w:rsidR="00F26F5C" w:rsidRPr="00AB59C3" w:rsidRDefault="00F26F5C" w:rsidP="005F5143">
      <w:pPr>
        <w:jc w:val="center"/>
      </w:pPr>
    </w:p>
    <w:p w:rsidR="00EA5A93" w:rsidRPr="00AB59C3" w:rsidRDefault="00EA5A93" w:rsidP="00EA5A93">
      <w:pPr>
        <w:ind w:firstLine="567"/>
        <w:jc w:val="both"/>
      </w:pPr>
      <w:r w:rsidRPr="00AB59C3"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EA5A93" w:rsidRPr="00AB59C3" w:rsidRDefault="00EA5A93" w:rsidP="00EA5A93">
      <w:pPr>
        <w:outlineLvl w:val="1"/>
        <w:rPr>
          <w:b/>
        </w:rPr>
      </w:pPr>
      <w:r w:rsidRPr="00AB59C3">
        <w:rPr>
          <w:b/>
        </w:rPr>
        <w:t>«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1418"/>
        <w:gridCol w:w="1310"/>
        <w:gridCol w:w="1134"/>
        <w:gridCol w:w="1134"/>
        <w:gridCol w:w="1134"/>
        <w:gridCol w:w="1081"/>
        <w:gridCol w:w="1190"/>
      </w:tblGrid>
      <w:tr w:rsidR="00EA5A93" w:rsidRPr="00514863" w:rsidTr="00E47357">
        <w:trPr>
          <w:trHeight w:val="539"/>
          <w:jc w:val="center"/>
        </w:trPr>
        <w:tc>
          <w:tcPr>
            <w:tcW w:w="1382" w:type="dxa"/>
            <w:vMerge w:val="restart"/>
            <w:shd w:val="clear" w:color="auto" w:fill="auto"/>
            <w:hideMark/>
          </w:tcPr>
          <w:p w:rsidR="00EA5A93" w:rsidRPr="000D63E3" w:rsidRDefault="00EA5A93" w:rsidP="00412E6E">
            <w:pPr>
              <w:rPr>
                <w:color w:val="000000"/>
                <w:sz w:val="22"/>
                <w:szCs w:val="22"/>
              </w:rPr>
            </w:pPr>
            <w:r w:rsidRPr="000D63E3">
              <w:rPr>
                <w:color w:val="000000"/>
                <w:sz w:val="22"/>
                <w:szCs w:val="22"/>
              </w:rPr>
              <w:t>Объемы финансирования  программы</w:t>
            </w:r>
          </w:p>
        </w:tc>
        <w:tc>
          <w:tcPr>
            <w:tcW w:w="8401" w:type="dxa"/>
            <w:gridSpan w:val="7"/>
            <w:shd w:val="clear" w:color="auto" w:fill="auto"/>
            <w:hideMark/>
          </w:tcPr>
          <w:p w:rsidR="00EA5A93" w:rsidRPr="000D63E3" w:rsidRDefault="00EA5A93" w:rsidP="00EA5A93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Общий объём финансирования составляет 9 124 631,7 тыс. рублей, в том числе по источникам финансирования и годам реализации:</w:t>
            </w:r>
          </w:p>
        </w:tc>
      </w:tr>
      <w:tr w:rsidR="00EA5A93" w:rsidRPr="00514863" w:rsidTr="00E47357">
        <w:trPr>
          <w:trHeight w:val="273"/>
          <w:jc w:val="center"/>
        </w:trPr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shd w:val="clear" w:color="auto" w:fill="auto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Источник финансирования</w:t>
            </w:r>
          </w:p>
        </w:tc>
      </w:tr>
      <w:tr w:rsidR="00EA5A93" w:rsidRPr="00514863" w:rsidTr="00E47357">
        <w:trPr>
          <w:trHeight w:val="300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  <w:r w:rsidRPr="000D63E3">
              <w:rPr>
                <w:color w:val="000000"/>
              </w:rPr>
              <w:t>Всего</w:t>
            </w:r>
          </w:p>
        </w:tc>
        <w:tc>
          <w:tcPr>
            <w:tcW w:w="6983" w:type="dxa"/>
            <w:gridSpan w:val="6"/>
            <w:vAlign w:val="center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Объём финансирования (тыс. руб.)</w:t>
            </w:r>
          </w:p>
        </w:tc>
      </w:tr>
      <w:tr w:rsidR="00EA5A93" w:rsidRPr="00514863" w:rsidTr="00E47357">
        <w:trPr>
          <w:trHeight w:val="300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81" w:type="dxa"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90" w:type="dxa"/>
            <w:vAlign w:val="center"/>
            <w:hideMark/>
          </w:tcPr>
          <w:p w:rsidR="00EA5A93" w:rsidRPr="00B62EA4" w:rsidRDefault="00EA5A93" w:rsidP="00412E6E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EA5A93" w:rsidRPr="00514863" w:rsidTr="00E47357">
        <w:trPr>
          <w:trHeight w:val="300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EA5A93" w:rsidRPr="000D63E3" w:rsidRDefault="00EA5A93" w:rsidP="00EA5A93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9 124 631,7</w:t>
            </w:r>
          </w:p>
        </w:tc>
        <w:tc>
          <w:tcPr>
            <w:tcW w:w="1310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noWrap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EA5A93" w:rsidP="00E4735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1 51</w:t>
            </w:r>
            <w:r w:rsidR="00E47357" w:rsidRPr="000D63E3">
              <w:rPr>
                <w:color w:val="000000"/>
                <w:sz w:val="18"/>
                <w:szCs w:val="18"/>
              </w:rPr>
              <w:t>7</w:t>
            </w:r>
            <w:r w:rsidRPr="000D63E3">
              <w:rPr>
                <w:color w:val="000000"/>
                <w:sz w:val="18"/>
                <w:szCs w:val="18"/>
              </w:rPr>
              <w:t> </w:t>
            </w:r>
            <w:r w:rsidR="00E47357" w:rsidRPr="000D63E3">
              <w:rPr>
                <w:color w:val="000000"/>
                <w:sz w:val="18"/>
                <w:szCs w:val="18"/>
              </w:rPr>
              <w:t>821</w:t>
            </w:r>
            <w:r w:rsidRPr="000D63E3">
              <w:rPr>
                <w:color w:val="000000"/>
                <w:sz w:val="18"/>
                <w:szCs w:val="18"/>
              </w:rPr>
              <w:t>,</w:t>
            </w:r>
            <w:r w:rsidR="00E47357" w:rsidRPr="000D63E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81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1 502 635,3</w:t>
            </w:r>
          </w:p>
        </w:tc>
        <w:tc>
          <w:tcPr>
            <w:tcW w:w="1190" w:type="dxa"/>
            <w:noWrap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517 464,1</w:t>
            </w:r>
          </w:p>
        </w:tc>
      </w:tr>
      <w:tr w:rsidR="00EA5A93" w:rsidRPr="00514863" w:rsidTr="00E47357">
        <w:trPr>
          <w:trHeight w:val="315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в том числе по источникам финансирования:</w:t>
            </w:r>
          </w:p>
        </w:tc>
      </w:tr>
      <w:tr w:rsidR="00EA5A93" w:rsidRPr="00514863" w:rsidTr="00E47357">
        <w:trPr>
          <w:trHeight w:val="315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федеральный бюджет</w:t>
            </w:r>
          </w:p>
        </w:tc>
      </w:tr>
      <w:tr w:rsidR="00EA5A93" w:rsidRPr="00514863" w:rsidTr="00E47357">
        <w:trPr>
          <w:trHeight w:val="300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349 542,9</w:t>
            </w:r>
          </w:p>
        </w:tc>
        <w:tc>
          <w:tcPr>
            <w:tcW w:w="1310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67 154,4</w:t>
            </w:r>
          </w:p>
        </w:tc>
        <w:tc>
          <w:tcPr>
            <w:tcW w:w="1081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0D63E3">
              <w:rPr>
                <w:iCs/>
                <w:color w:val="000000"/>
                <w:sz w:val="18"/>
                <w:szCs w:val="18"/>
              </w:rPr>
              <w:t>64 621,5</w:t>
            </w:r>
          </w:p>
        </w:tc>
        <w:tc>
          <w:tcPr>
            <w:tcW w:w="1190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65 404,7</w:t>
            </w:r>
          </w:p>
        </w:tc>
      </w:tr>
      <w:tr w:rsidR="00EA5A93" w:rsidRPr="00514863" w:rsidTr="00E47357">
        <w:trPr>
          <w:trHeight w:val="330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республиканский бюджет РК</w:t>
            </w:r>
          </w:p>
        </w:tc>
      </w:tr>
      <w:tr w:rsidR="00EA5A93" w:rsidRPr="00514863" w:rsidTr="00E47357">
        <w:trPr>
          <w:trHeight w:val="300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EA5A93" w:rsidRPr="000D63E3" w:rsidRDefault="00EA5A93" w:rsidP="00E4735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6 46</w:t>
            </w:r>
            <w:r w:rsidR="00E47357" w:rsidRPr="000D63E3">
              <w:rPr>
                <w:color w:val="000000"/>
                <w:sz w:val="18"/>
                <w:szCs w:val="18"/>
              </w:rPr>
              <w:t>8</w:t>
            </w:r>
            <w:r w:rsidRPr="000D63E3">
              <w:rPr>
                <w:color w:val="000000"/>
                <w:sz w:val="18"/>
                <w:szCs w:val="18"/>
              </w:rPr>
              <w:t> </w:t>
            </w:r>
            <w:r w:rsidR="00E47357" w:rsidRPr="000D63E3">
              <w:rPr>
                <w:color w:val="000000"/>
                <w:sz w:val="18"/>
                <w:szCs w:val="18"/>
              </w:rPr>
              <w:t>095</w:t>
            </w:r>
            <w:r w:rsidRPr="000D63E3">
              <w:rPr>
                <w:color w:val="000000"/>
                <w:sz w:val="18"/>
                <w:szCs w:val="18"/>
              </w:rPr>
              <w:t>,</w:t>
            </w:r>
            <w:r w:rsidR="00E47357" w:rsidRPr="000D63E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10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noWrap/>
            <w:vAlign w:val="center"/>
          </w:tcPr>
          <w:p w:rsidR="00EA5A93" w:rsidRPr="000D63E3" w:rsidRDefault="00EA5A93" w:rsidP="00E4735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1 0</w:t>
            </w:r>
            <w:r w:rsidR="00E47357" w:rsidRPr="000D63E3">
              <w:rPr>
                <w:color w:val="000000"/>
                <w:sz w:val="18"/>
                <w:szCs w:val="18"/>
              </w:rPr>
              <w:t>74</w:t>
            </w:r>
            <w:r w:rsidRPr="000D63E3">
              <w:rPr>
                <w:color w:val="000000"/>
                <w:sz w:val="18"/>
                <w:szCs w:val="18"/>
              </w:rPr>
              <w:t> </w:t>
            </w:r>
            <w:r w:rsidR="00E47357" w:rsidRPr="000D63E3">
              <w:rPr>
                <w:color w:val="000000"/>
                <w:sz w:val="18"/>
                <w:szCs w:val="18"/>
              </w:rPr>
              <w:t>540</w:t>
            </w:r>
            <w:r w:rsidRPr="000D63E3">
              <w:rPr>
                <w:color w:val="000000"/>
                <w:sz w:val="18"/>
                <w:szCs w:val="18"/>
              </w:rPr>
              <w:t>,</w:t>
            </w:r>
            <w:r w:rsidR="00E47357" w:rsidRPr="000D63E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81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1 061 690,9</w:t>
            </w:r>
          </w:p>
        </w:tc>
        <w:tc>
          <w:tcPr>
            <w:tcW w:w="1190" w:type="dxa"/>
            <w:noWrap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1 060 304,4</w:t>
            </w:r>
          </w:p>
        </w:tc>
      </w:tr>
      <w:tr w:rsidR="00EA5A93" w:rsidRPr="00514863" w:rsidTr="00E47357">
        <w:trPr>
          <w:trHeight w:val="330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0D63E3" w:rsidRDefault="00EA5A93" w:rsidP="00412E6E">
            <w:pPr>
              <w:rPr>
                <w:color w:val="000000"/>
              </w:rPr>
            </w:pPr>
            <w:r w:rsidRPr="000D63E3">
              <w:rPr>
                <w:color w:val="000000"/>
              </w:rPr>
              <w:t>бюджет МО МР «Печора»</w:t>
            </w:r>
          </w:p>
        </w:tc>
      </w:tr>
      <w:tr w:rsidR="00EA5A93" w:rsidRPr="00514863" w:rsidTr="00E47357">
        <w:trPr>
          <w:trHeight w:val="366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0D63E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A5A93" w:rsidRPr="000D63E3" w:rsidRDefault="00EA5A93" w:rsidP="00177C8B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2 061 </w:t>
            </w:r>
            <w:r w:rsidR="00177C8B" w:rsidRPr="000D63E3">
              <w:rPr>
                <w:color w:val="000000"/>
                <w:sz w:val="18"/>
                <w:szCs w:val="18"/>
              </w:rPr>
              <w:t>992</w:t>
            </w:r>
            <w:r w:rsidRPr="000D63E3">
              <w:rPr>
                <w:color w:val="000000"/>
                <w:sz w:val="18"/>
                <w:szCs w:val="18"/>
              </w:rPr>
              <w:t>,</w:t>
            </w:r>
            <w:r w:rsidR="00177C8B" w:rsidRPr="000D63E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10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vAlign w:val="center"/>
          </w:tcPr>
          <w:p w:rsidR="00EA5A93" w:rsidRPr="000D63E3" w:rsidRDefault="00EA5A93" w:rsidP="00121CDC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338 </w:t>
            </w:r>
            <w:r w:rsidR="00121CDC" w:rsidRPr="000D63E3">
              <w:rPr>
                <w:color w:val="000000"/>
                <w:sz w:val="18"/>
                <w:szCs w:val="18"/>
              </w:rPr>
              <w:t>126</w:t>
            </w:r>
            <w:r w:rsidRPr="000D63E3">
              <w:rPr>
                <w:color w:val="000000"/>
                <w:sz w:val="18"/>
                <w:szCs w:val="18"/>
              </w:rPr>
              <w:t>,</w:t>
            </w:r>
            <w:r w:rsidR="00121CDC" w:rsidRPr="000D63E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81" w:type="dxa"/>
            <w:noWrap/>
            <w:vAlign w:val="center"/>
          </w:tcPr>
          <w:p w:rsidR="00EA5A93" w:rsidRPr="000D63E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190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EA5A93" w:rsidRPr="00514863" w:rsidTr="00E47357">
        <w:trPr>
          <w:trHeight w:val="330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51486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EA5A93" w:rsidRPr="00514863" w:rsidRDefault="00EA5A93" w:rsidP="00412E6E">
            <w:pPr>
              <w:rPr>
                <w:color w:val="000000"/>
              </w:rPr>
            </w:pPr>
            <w:r w:rsidRPr="00514863">
              <w:rPr>
                <w:color w:val="000000"/>
              </w:rPr>
              <w:t>Внебюджетные источники</w:t>
            </w:r>
          </w:p>
        </w:tc>
      </w:tr>
      <w:tr w:rsidR="00EA5A93" w:rsidRPr="00514863" w:rsidTr="00E47357">
        <w:trPr>
          <w:trHeight w:val="300"/>
          <w:jc w:val="center"/>
        </w:trPr>
        <w:tc>
          <w:tcPr>
            <w:tcW w:w="1382" w:type="dxa"/>
            <w:vMerge/>
            <w:vAlign w:val="center"/>
            <w:hideMark/>
          </w:tcPr>
          <w:p w:rsidR="00EA5A93" w:rsidRPr="00514863" w:rsidRDefault="00EA5A93" w:rsidP="00412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310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081" w:type="dxa"/>
            <w:noWrap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90" w:type="dxa"/>
            <w:vAlign w:val="center"/>
          </w:tcPr>
          <w:p w:rsidR="00EA5A93" w:rsidRPr="00514863" w:rsidRDefault="00EA5A93" w:rsidP="00412E6E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5F5143" w:rsidRDefault="00910DA3" w:rsidP="00910DA3">
      <w:pPr>
        <w:jc w:val="right"/>
      </w:pPr>
      <w:r w:rsidRPr="00910DA3">
        <w:t>»;</w:t>
      </w:r>
    </w:p>
    <w:p w:rsidR="008F4397" w:rsidRDefault="008F4397" w:rsidP="00FC6E3A">
      <w:pPr>
        <w:jc w:val="both"/>
      </w:pPr>
      <w:r>
        <w:tab/>
        <w:t xml:space="preserve">2.  </w:t>
      </w:r>
      <w:r w:rsidRPr="008F4397">
        <w:t>В приложении 1 к постановлению администрации МР «Печора» в паспорте подпрограммы 1 «Развитие системы до</w:t>
      </w:r>
      <w:r w:rsidR="00700408">
        <w:t>школьного образования» позиции</w:t>
      </w:r>
      <w:r>
        <w:t xml:space="preserve"> 6</w:t>
      </w:r>
      <w:r w:rsidR="003D2EA8">
        <w:t xml:space="preserve"> и </w:t>
      </w:r>
      <w:r w:rsidR="00700408">
        <w:t>8</w:t>
      </w:r>
      <w:r w:rsidRPr="008F4397">
        <w:t xml:space="preserve"> изложить в следующей редакции:</w:t>
      </w:r>
    </w:p>
    <w:p w:rsidR="008F4397" w:rsidRDefault="008F4397" w:rsidP="008F4397">
      <w:r>
        <w:t>«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992"/>
        <w:gridCol w:w="1134"/>
        <w:gridCol w:w="1134"/>
        <w:gridCol w:w="1134"/>
        <w:gridCol w:w="1134"/>
        <w:gridCol w:w="1134"/>
      </w:tblGrid>
      <w:tr w:rsidR="008F4397" w:rsidRPr="00C4210C" w:rsidTr="00790765">
        <w:trPr>
          <w:trHeight w:val="174"/>
        </w:trPr>
        <w:tc>
          <w:tcPr>
            <w:tcW w:w="1843" w:type="dxa"/>
          </w:tcPr>
          <w:p w:rsidR="008F4397" w:rsidRPr="00C4210C" w:rsidRDefault="008F4397" w:rsidP="003B4BE1">
            <w:pPr>
              <w:outlineLvl w:val="1"/>
            </w:pPr>
            <w:r w:rsidRPr="00C4210C">
              <w:t>Целевые индикаторы и</w:t>
            </w:r>
          </w:p>
          <w:p w:rsidR="008F4397" w:rsidRPr="00C4210C" w:rsidRDefault="008F4397" w:rsidP="003B4BE1">
            <w:pPr>
              <w:outlineLvl w:val="1"/>
            </w:pPr>
            <w:r w:rsidRPr="00C4210C">
              <w:t xml:space="preserve">показатели подпрограммы </w:t>
            </w:r>
          </w:p>
          <w:p w:rsidR="008F4397" w:rsidRPr="00C4210C" w:rsidRDefault="008F4397" w:rsidP="003B4BE1">
            <w:pPr>
              <w:outlineLvl w:val="1"/>
            </w:pPr>
          </w:p>
          <w:p w:rsidR="008F4397" w:rsidRPr="00C4210C" w:rsidRDefault="008F4397" w:rsidP="003B4BE1">
            <w:pPr>
              <w:outlineLvl w:val="1"/>
            </w:pPr>
          </w:p>
          <w:p w:rsidR="008F4397" w:rsidRPr="00C4210C" w:rsidRDefault="008F4397" w:rsidP="003B4BE1">
            <w:pPr>
              <w:outlineLvl w:val="1"/>
            </w:pPr>
          </w:p>
        </w:tc>
        <w:tc>
          <w:tcPr>
            <w:tcW w:w="7938" w:type="dxa"/>
            <w:gridSpan w:val="7"/>
          </w:tcPr>
          <w:p w:rsidR="008F4397" w:rsidRPr="00F10973" w:rsidRDefault="008F4397" w:rsidP="003B4BE1">
            <w:pPr>
              <w:pStyle w:val="affe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F10973">
              <w:rPr>
                <w:color w:val="000000"/>
                <w:sz w:val="24"/>
                <w:szCs w:val="24"/>
              </w:rPr>
              <w:t>1.Доля детей в возрасте 1 - 6 лет, реализующих программу дошкольного образования  и (или) получающих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8F4397" w:rsidRPr="00F10973" w:rsidRDefault="008F4397" w:rsidP="003B4BE1">
            <w:pPr>
              <w:jc w:val="both"/>
            </w:pPr>
            <w:r w:rsidRPr="00F10973">
              <w:rPr>
                <w:color w:val="000000"/>
              </w:rPr>
              <w:t>2.</w:t>
            </w:r>
            <w:r w:rsidRPr="00F10973">
              <w:rPr>
                <w:color w:val="FF0000"/>
              </w:rPr>
              <w:t xml:space="preserve"> </w:t>
            </w:r>
            <w:r w:rsidRPr="00F10973">
              <w:t>Количество созданных мест в детских дошкольных организациях.</w:t>
            </w:r>
          </w:p>
          <w:p w:rsidR="008F4397" w:rsidRPr="00F10973" w:rsidRDefault="00F10973" w:rsidP="003B4BE1">
            <w:pPr>
              <w:jc w:val="both"/>
              <w:rPr>
                <w:color w:val="000000"/>
              </w:rPr>
            </w:pPr>
            <w:r w:rsidRPr="00F10973">
              <w:rPr>
                <w:color w:val="000000"/>
              </w:rPr>
              <w:t>3</w:t>
            </w:r>
            <w:r w:rsidR="008F4397" w:rsidRPr="00F10973">
              <w:rPr>
                <w:color w:val="000000"/>
              </w:rPr>
              <w:t>. 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8F4397" w:rsidRPr="00F10973" w:rsidRDefault="00F10973" w:rsidP="003B4BE1">
            <w:pPr>
              <w:jc w:val="both"/>
              <w:rPr>
                <w:color w:val="000000"/>
              </w:rPr>
            </w:pPr>
            <w:r w:rsidRPr="00F10973">
              <w:rPr>
                <w:color w:val="000000"/>
              </w:rPr>
              <w:t>4</w:t>
            </w:r>
            <w:r w:rsidR="008F4397" w:rsidRPr="00F10973">
              <w:rPr>
                <w:color w:val="000000"/>
              </w:rPr>
              <w:t>. 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организаций.</w:t>
            </w:r>
          </w:p>
          <w:p w:rsidR="008F4397" w:rsidRPr="00F10973" w:rsidRDefault="00F10973" w:rsidP="003B4BE1">
            <w:pPr>
              <w:jc w:val="both"/>
              <w:rPr>
                <w:color w:val="000000"/>
              </w:rPr>
            </w:pPr>
            <w:r w:rsidRPr="00F10973">
              <w:rPr>
                <w:color w:val="000000"/>
              </w:rPr>
              <w:t>5</w:t>
            </w:r>
            <w:r w:rsidR="008F4397" w:rsidRPr="00F10973">
              <w:rPr>
                <w:color w:val="000000"/>
              </w:rPr>
              <w:t>. 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8F4397" w:rsidRPr="00F10973" w:rsidRDefault="00F10973" w:rsidP="003B4BE1">
            <w:pPr>
              <w:jc w:val="both"/>
              <w:rPr>
                <w:color w:val="000000"/>
              </w:rPr>
            </w:pPr>
            <w:r w:rsidRPr="00F10973">
              <w:rPr>
                <w:color w:val="000000"/>
              </w:rPr>
              <w:t>6</w:t>
            </w:r>
            <w:r w:rsidR="008F4397" w:rsidRPr="00F10973">
              <w:rPr>
                <w:color w:val="000000"/>
              </w:rPr>
              <w:t>. 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  <w:p w:rsidR="008F4397" w:rsidRPr="00F10973" w:rsidRDefault="00F10973" w:rsidP="003B4BE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</w:t>
            </w:r>
            <w:r w:rsidR="008F4397" w:rsidRPr="00F10973">
              <w:rPr>
                <w:color w:val="000000" w:themeColor="text1"/>
              </w:rPr>
              <w:t>. Среднесписочная численность педагогических работников дошкольных образовательных организаций в муниципальном районе.</w:t>
            </w:r>
          </w:p>
          <w:p w:rsidR="008F4397" w:rsidRPr="00F10973" w:rsidRDefault="008F4397" w:rsidP="003B4BE1">
            <w:pPr>
              <w:jc w:val="both"/>
            </w:pP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B62EA4" w:rsidP="00D44BDE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0D63E3">
              <w:rPr>
                <w:sz w:val="22"/>
                <w:szCs w:val="22"/>
              </w:rPr>
              <w:lastRenderedPageBreak/>
              <w:t>Объемы финансирова</w:t>
            </w:r>
            <w:r w:rsidR="00D44BDE" w:rsidRPr="000D63E3">
              <w:rPr>
                <w:sz w:val="22"/>
                <w:szCs w:val="22"/>
              </w:rPr>
              <w:t xml:space="preserve">ния  подпрограммы </w:t>
            </w:r>
          </w:p>
        </w:tc>
        <w:tc>
          <w:tcPr>
            <w:tcW w:w="793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36772A">
            <w:pPr>
              <w:jc w:val="both"/>
            </w:pPr>
            <w:r w:rsidRPr="000D63E3">
              <w:t>Общий объём финансирования подпрограммы составляет 3</w:t>
            </w:r>
            <w:r w:rsidR="00001A5A" w:rsidRPr="000D63E3">
              <w:t> 56</w:t>
            </w:r>
            <w:r w:rsidR="0036772A" w:rsidRPr="000D63E3">
              <w:t>5</w:t>
            </w:r>
            <w:r w:rsidR="006826FE" w:rsidRPr="000D63E3">
              <w:t> </w:t>
            </w:r>
            <w:r w:rsidR="0036772A" w:rsidRPr="000D63E3">
              <w:t>820</w:t>
            </w:r>
            <w:r w:rsidR="006826FE" w:rsidRPr="000D63E3">
              <w:t>,</w:t>
            </w:r>
            <w:r w:rsidR="0036772A" w:rsidRPr="000D63E3">
              <w:t>6</w:t>
            </w:r>
            <w:r w:rsidRPr="000D63E3">
              <w:t xml:space="preserve"> тыс. рублей, в том числе по источникам финансирования и годам реализации: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44BDE" w:rsidRPr="000D63E3" w:rsidRDefault="00D44BDE" w:rsidP="00D44BDE"/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pPr>
              <w:rPr>
                <w:sz w:val="22"/>
                <w:szCs w:val="22"/>
              </w:rPr>
            </w:pPr>
            <w:r w:rsidRPr="000D63E3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66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r w:rsidRPr="000D63E3">
              <w:t>Объём финансирования (тыс. руб.)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44BDE" w:rsidRPr="000D63E3" w:rsidRDefault="00D44BDE" w:rsidP="00D44BDE"/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pPr>
              <w:jc w:val="center"/>
              <w:rPr>
                <w:sz w:val="22"/>
                <w:szCs w:val="22"/>
              </w:rPr>
            </w:pPr>
            <w:r w:rsidRPr="000D63E3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pPr>
              <w:jc w:val="center"/>
              <w:rPr>
                <w:sz w:val="22"/>
                <w:szCs w:val="22"/>
              </w:rPr>
            </w:pPr>
            <w:r w:rsidRPr="000D63E3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pPr>
              <w:jc w:val="center"/>
              <w:rPr>
                <w:sz w:val="22"/>
                <w:szCs w:val="22"/>
              </w:rPr>
            </w:pPr>
            <w:r w:rsidRPr="000D63E3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pPr>
              <w:jc w:val="center"/>
              <w:rPr>
                <w:sz w:val="22"/>
                <w:szCs w:val="22"/>
              </w:rPr>
            </w:pPr>
            <w:r w:rsidRPr="000D63E3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pPr>
              <w:jc w:val="center"/>
              <w:rPr>
                <w:sz w:val="22"/>
                <w:szCs w:val="22"/>
              </w:rPr>
            </w:pPr>
            <w:r w:rsidRPr="000D63E3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pPr>
              <w:jc w:val="center"/>
              <w:rPr>
                <w:sz w:val="22"/>
                <w:szCs w:val="22"/>
              </w:rPr>
            </w:pPr>
            <w:r w:rsidRPr="000D63E3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2025  год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843" w:type="dxa"/>
            <w:vMerge/>
            <w:vAlign w:val="center"/>
            <w:hideMark/>
          </w:tcPr>
          <w:p w:rsidR="00D44BDE" w:rsidRPr="000D63E3" w:rsidRDefault="00D44BDE" w:rsidP="00D44BDE"/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AE725C" w:rsidP="00A7419F">
            <w:pPr>
              <w:jc w:val="center"/>
              <w:rPr>
                <w:sz w:val="18"/>
                <w:szCs w:val="18"/>
                <w:lang w:val="en-US"/>
              </w:rPr>
            </w:pPr>
            <w:r w:rsidRPr="000D63E3">
              <w:rPr>
                <w:sz w:val="18"/>
                <w:szCs w:val="18"/>
              </w:rPr>
              <w:t>3</w:t>
            </w:r>
            <w:r w:rsidR="00001A5A" w:rsidRPr="000D63E3">
              <w:rPr>
                <w:sz w:val="18"/>
                <w:szCs w:val="18"/>
              </w:rPr>
              <w:t> 56</w:t>
            </w:r>
            <w:r w:rsidR="00A7419F" w:rsidRPr="000D63E3">
              <w:rPr>
                <w:sz w:val="18"/>
                <w:szCs w:val="18"/>
              </w:rPr>
              <w:t>5</w:t>
            </w:r>
            <w:r w:rsidR="006826FE" w:rsidRPr="000D63E3">
              <w:rPr>
                <w:sz w:val="18"/>
                <w:szCs w:val="18"/>
              </w:rPr>
              <w:t> </w:t>
            </w:r>
            <w:r w:rsidR="00A7419F" w:rsidRPr="000D63E3">
              <w:rPr>
                <w:sz w:val="18"/>
                <w:szCs w:val="18"/>
              </w:rPr>
              <w:t>820</w:t>
            </w:r>
            <w:r w:rsidR="006826FE" w:rsidRPr="000D63E3">
              <w:rPr>
                <w:sz w:val="18"/>
                <w:szCs w:val="18"/>
              </w:rPr>
              <w:t>,</w:t>
            </w:r>
            <w:r w:rsidR="00A7419F" w:rsidRPr="000D63E3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B62EA4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37164A" w:rsidP="00BF3B43">
            <w:pPr>
              <w:jc w:val="center"/>
              <w:rPr>
                <w:sz w:val="18"/>
                <w:szCs w:val="18"/>
                <w:lang w:val="en-US"/>
              </w:rPr>
            </w:pPr>
            <w:r w:rsidRPr="000D63E3">
              <w:rPr>
                <w:sz w:val="18"/>
                <w:szCs w:val="18"/>
              </w:rPr>
              <w:t>58</w:t>
            </w:r>
            <w:r w:rsidR="00BF3B43" w:rsidRPr="000D63E3">
              <w:rPr>
                <w:sz w:val="18"/>
                <w:szCs w:val="18"/>
              </w:rPr>
              <w:t>6</w:t>
            </w:r>
            <w:r w:rsidR="006826FE" w:rsidRPr="000D63E3">
              <w:rPr>
                <w:sz w:val="18"/>
                <w:szCs w:val="18"/>
              </w:rPr>
              <w:t> </w:t>
            </w:r>
            <w:r w:rsidR="00BF3B43" w:rsidRPr="000D63E3">
              <w:rPr>
                <w:sz w:val="18"/>
                <w:szCs w:val="18"/>
              </w:rPr>
              <w:t>007</w:t>
            </w:r>
            <w:r w:rsidR="006826FE" w:rsidRPr="000D63E3">
              <w:rPr>
                <w:sz w:val="18"/>
                <w:szCs w:val="18"/>
              </w:rPr>
              <w:t>,</w:t>
            </w:r>
            <w:r w:rsidR="00BF3B43" w:rsidRPr="000D63E3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587 835,0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44BDE" w:rsidRPr="000D63E3" w:rsidRDefault="00D44BDE" w:rsidP="00D44BDE"/>
        </w:tc>
        <w:tc>
          <w:tcPr>
            <w:tcW w:w="793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pPr>
              <w:rPr>
                <w:sz w:val="16"/>
                <w:szCs w:val="16"/>
              </w:rPr>
            </w:pPr>
            <w:r w:rsidRPr="000D63E3">
              <w:t xml:space="preserve">федеральный бюджет 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843" w:type="dxa"/>
            <w:vMerge/>
            <w:vAlign w:val="center"/>
            <w:hideMark/>
          </w:tcPr>
          <w:p w:rsidR="00D44BDE" w:rsidRPr="000D63E3" w:rsidRDefault="00D44BDE" w:rsidP="00D44BDE"/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44BDE" w:rsidRPr="000D63E3" w:rsidRDefault="00D44BDE" w:rsidP="00D44BDE"/>
        </w:tc>
        <w:tc>
          <w:tcPr>
            <w:tcW w:w="793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0D63E3" w:rsidRDefault="00D44BDE" w:rsidP="00D44BDE">
            <w:pPr>
              <w:rPr>
                <w:sz w:val="16"/>
                <w:szCs w:val="16"/>
              </w:rPr>
            </w:pPr>
            <w:r w:rsidRPr="000D63E3">
              <w:t>республиканский бюджет РК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843" w:type="dxa"/>
            <w:vMerge/>
            <w:vAlign w:val="center"/>
            <w:hideMark/>
          </w:tcPr>
          <w:p w:rsidR="00D44BDE" w:rsidRPr="000D63E3" w:rsidRDefault="00D44BDE" w:rsidP="00D44BDE"/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0D63E3" w:rsidRDefault="00D344C3" w:rsidP="00736905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2 78</w:t>
            </w:r>
            <w:r w:rsidR="00736905" w:rsidRPr="000D63E3">
              <w:rPr>
                <w:sz w:val="18"/>
                <w:szCs w:val="18"/>
              </w:rPr>
              <w:t>6</w:t>
            </w:r>
            <w:r w:rsidR="006826FE" w:rsidRPr="000D63E3">
              <w:rPr>
                <w:sz w:val="18"/>
                <w:szCs w:val="18"/>
              </w:rPr>
              <w:t> </w:t>
            </w:r>
            <w:r w:rsidR="00736905" w:rsidRPr="000D63E3">
              <w:rPr>
                <w:sz w:val="18"/>
                <w:szCs w:val="18"/>
              </w:rPr>
              <w:t>350</w:t>
            </w:r>
            <w:r w:rsidR="006826FE" w:rsidRPr="000D63E3">
              <w:rPr>
                <w:sz w:val="18"/>
                <w:szCs w:val="18"/>
              </w:rPr>
              <w:t>,</w:t>
            </w:r>
            <w:r w:rsidR="00736905" w:rsidRPr="000D63E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37164A" w:rsidP="00785E38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46</w:t>
            </w:r>
            <w:r w:rsidR="00785E38" w:rsidRPr="000D63E3">
              <w:rPr>
                <w:sz w:val="18"/>
                <w:szCs w:val="18"/>
              </w:rPr>
              <w:t>5</w:t>
            </w:r>
            <w:r w:rsidR="008C5395" w:rsidRPr="000D63E3">
              <w:rPr>
                <w:sz w:val="18"/>
                <w:szCs w:val="18"/>
              </w:rPr>
              <w:t> </w:t>
            </w:r>
            <w:r w:rsidR="00785E38" w:rsidRPr="000D63E3">
              <w:rPr>
                <w:sz w:val="18"/>
                <w:szCs w:val="18"/>
              </w:rPr>
              <w:t>067</w:t>
            </w:r>
            <w:r w:rsidR="008C5395" w:rsidRPr="000D63E3">
              <w:rPr>
                <w:sz w:val="18"/>
                <w:szCs w:val="18"/>
              </w:rPr>
              <w:t>,</w:t>
            </w:r>
            <w:r w:rsidR="00785E38" w:rsidRPr="000D63E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0D63E3" w:rsidRDefault="00D44BDE" w:rsidP="00D44BDE">
            <w:pPr>
              <w:jc w:val="center"/>
              <w:rPr>
                <w:sz w:val="18"/>
                <w:szCs w:val="18"/>
              </w:rPr>
            </w:pPr>
            <w:r w:rsidRPr="000D63E3"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456 534,3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793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16"/>
                <w:szCs w:val="16"/>
              </w:rPr>
            </w:pPr>
            <w:r w:rsidRPr="00946219">
              <w:t>бюджет МО МР «Печора»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843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37164A" w:rsidP="00C62A23">
            <w:pPr>
              <w:jc w:val="center"/>
              <w:rPr>
                <w:sz w:val="18"/>
                <w:szCs w:val="18"/>
                <w:lang w:val="en-US"/>
              </w:rPr>
            </w:pPr>
            <w:r w:rsidRPr="00946219">
              <w:rPr>
                <w:sz w:val="18"/>
                <w:szCs w:val="18"/>
              </w:rPr>
              <w:t>534</w:t>
            </w:r>
            <w:r w:rsidR="006826FE" w:rsidRPr="00946219">
              <w:rPr>
                <w:sz w:val="18"/>
                <w:szCs w:val="18"/>
              </w:rPr>
              <w:t> </w:t>
            </w:r>
            <w:r w:rsidR="00C62A23" w:rsidRPr="00946219">
              <w:rPr>
                <w:sz w:val="18"/>
                <w:szCs w:val="18"/>
              </w:rPr>
              <w:t>469</w:t>
            </w:r>
            <w:r w:rsidR="006826FE" w:rsidRPr="00946219">
              <w:rPr>
                <w:sz w:val="18"/>
                <w:szCs w:val="18"/>
              </w:rPr>
              <w:t>,</w:t>
            </w:r>
            <w:r w:rsidR="00C62A23" w:rsidRPr="00946219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B62EA4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6C1875" w:rsidP="00CA2E4B">
            <w:pPr>
              <w:jc w:val="center"/>
              <w:rPr>
                <w:sz w:val="18"/>
                <w:szCs w:val="18"/>
                <w:lang w:val="en-US"/>
              </w:rPr>
            </w:pPr>
            <w:r w:rsidRPr="00946219">
              <w:rPr>
                <w:sz w:val="18"/>
                <w:szCs w:val="18"/>
              </w:rPr>
              <w:t>82</w:t>
            </w:r>
            <w:r w:rsidR="008C5395" w:rsidRPr="00946219">
              <w:rPr>
                <w:sz w:val="18"/>
                <w:szCs w:val="18"/>
              </w:rPr>
              <w:t> </w:t>
            </w:r>
            <w:r w:rsidR="00CA2E4B" w:rsidRPr="00946219">
              <w:rPr>
                <w:sz w:val="18"/>
                <w:szCs w:val="18"/>
              </w:rPr>
              <w:t>940</w:t>
            </w:r>
            <w:r w:rsidR="008C5395" w:rsidRPr="00946219">
              <w:rPr>
                <w:sz w:val="18"/>
                <w:szCs w:val="18"/>
              </w:rPr>
              <w:t>,</w:t>
            </w:r>
            <w:r w:rsidR="00CA2E4B" w:rsidRPr="0094621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93 300,7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793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D44BDE" w:rsidRPr="00946219" w:rsidTr="00700408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843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245 000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</w:tr>
    </w:tbl>
    <w:p w:rsidR="00910DA3" w:rsidRDefault="00910DA3" w:rsidP="00910DA3">
      <w:pPr>
        <w:ind w:firstLine="567"/>
        <w:jc w:val="right"/>
      </w:pPr>
      <w:r w:rsidRPr="00910DA3">
        <w:t>»;</w:t>
      </w:r>
    </w:p>
    <w:p w:rsidR="00724665" w:rsidRDefault="00700408" w:rsidP="00724665">
      <w:pPr>
        <w:ind w:firstLine="567"/>
        <w:jc w:val="both"/>
      </w:pPr>
      <w:r>
        <w:t>3</w:t>
      </w:r>
      <w:r w:rsidR="00724665" w:rsidRPr="00724665">
        <w:t>. В приложении 1 к постановлению администрации МР «П</w:t>
      </w:r>
      <w:r w:rsidR="00724665">
        <w:t>ечора» в паспорте подпрограммы 2</w:t>
      </w:r>
      <w:r w:rsidR="00724665" w:rsidRPr="00724665">
        <w:t xml:space="preserve"> «Развитие системы </w:t>
      </w:r>
      <w:r w:rsidR="00BD4803" w:rsidRPr="00BD4803">
        <w:t>общего</w:t>
      </w:r>
      <w:r w:rsidR="00BD4803">
        <w:t xml:space="preserve"> образования» позицию 6</w:t>
      </w:r>
      <w:r w:rsidR="00724665" w:rsidRPr="00724665">
        <w:t xml:space="preserve"> изложить в следующей редакции:</w:t>
      </w:r>
    </w:p>
    <w:p w:rsidR="00BD4803" w:rsidRDefault="00BD4803" w:rsidP="00724665">
      <w:pPr>
        <w:ind w:firstLine="567"/>
        <w:jc w:val="both"/>
      </w:pPr>
      <w:r w:rsidRPr="00BD4803">
        <w:t>«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38"/>
      </w:tblGrid>
      <w:tr w:rsidR="00816115" w:rsidRPr="00654B86" w:rsidTr="00816115">
        <w:trPr>
          <w:trHeight w:val="275"/>
        </w:trPr>
        <w:tc>
          <w:tcPr>
            <w:tcW w:w="1985" w:type="dxa"/>
          </w:tcPr>
          <w:p w:rsidR="00816115" w:rsidRPr="00304A52" w:rsidRDefault="00816115" w:rsidP="003B4BE1">
            <w:pPr>
              <w:outlineLvl w:val="1"/>
            </w:pPr>
            <w:r w:rsidRPr="00304A52">
              <w:t>Целевые индикаторы и показатели подпрограммы</w:t>
            </w:r>
          </w:p>
        </w:tc>
        <w:tc>
          <w:tcPr>
            <w:tcW w:w="7938" w:type="dxa"/>
          </w:tcPr>
          <w:p w:rsidR="00816115" w:rsidRPr="0010039E" w:rsidRDefault="00816115" w:rsidP="003B4BE1">
            <w:pPr>
              <w:widowControl w:val="0"/>
              <w:jc w:val="both"/>
            </w:pPr>
            <w:r w:rsidRPr="0010039E">
              <w:t>1.Удовлетворенность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816115" w:rsidRPr="0010039E" w:rsidRDefault="00816115" w:rsidP="003B4BE1">
            <w:pPr>
              <w:widowControl w:val="0"/>
              <w:jc w:val="both"/>
            </w:pPr>
            <w:r w:rsidRPr="0010039E">
              <w:t xml:space="preserve">2. 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10039E">
              <w:t>численности</w:t>
            </w:r>
            <w:proofErr w:type="gramEnd"/>
            <w:r w:rsidRPr="0010039E">
              <w:t xml:space="preserve"> обучающихся по основным программам общего образования).</w:t>
            </w:r>
          </w:p>
          <w:p w:rsidR="00816115" w:rsidRPr="0010039E" w:rsidRDefault="00816115" w:rsidP="003B4BE1">
            <w:pPr>
              <w:jc w:val="both"/>
            </w:pPr>
            <w:r w:rsidRPr="0010039E">
              <w:t>3. Доля выпускников 11 (12)-х классов, получивших аттестат о среднем  общем образовании от общего числа выпускников 11 (12)х классов.</w:t>
            </w:r>
          </w:p>
          <w:p w:rsidR="00816115" w:rsidRPr="0010039E" w:rsidRDefault="00816115" w:rsidP="003B4BE1">
            <w:pPr>
              <w:jc w:val="both"/>
            </w:pPr>
            <w:r w:rsidRPr="0010039E">
              <w:t>4.Удельный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10039E">
              <w:t>Инноватика</w:t>
            </w:r>
            <w:proofErr w:type="spellEnd"/>
            <w:r w:rsidRPr="0010039E">
              <w:t xml:space="preserve"> в образовании» и др.) от общего количества образовательных организаций.</w:t>
            </w:r>
          </w:p>
          <w:p w:rsidR="00816115" w:rsidRPr="0010039E" w:rsidRDefault="00816115" w:rsidP="003B4BE1">
            <w:pPr>
              <w:jc w:val="both"/>
            </w:pPr>
            <w:r w:rsidRPr="0010039E">
              <w:t>5.Доля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816115" w:rsidRPr="0010039E" w:rsidRDefault="00816115" w:rsidP="003B4BE1">
            <w:pPr>
              <w:jc w:val="both"/>
            </w:pPr>
            <w:r w:rsidRPr="0010039E">
              <w:t>6.</w:t>
            </w:r>
            <w:r w:rsidRPr="0010039E">
              <w:rPr>
                <w:rFonts w:ascii="Arial" w:hAnsi="Arial" w:cs="Arial"/>
              </w:rPr>
              <w:t xml:space="preserve"> </w:t>
            </w:r>
            <w:r w:rsidRPr="0010039E"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  <w:p w:rsidR="00816115" w:rsidRPr="0010039E" w:rsidRDefault="00816115" w:rsidP="003B4BE1">
            <w:pPr>
              <w:jc w:val="both"/>
            </w:pPr>
            <w:r w:rsidRPr="0010039E">
              <w:t>7. Доля кабинетов коми языка,  оснащенных  современным оборудованием, от  общего  количества  кабинетов  коми языка.</w:t>
            </w:r>
          </w:p>
          <w:p w:rsidR="00816115" w:rsidRPr="0010039E" w:rsidRDefault="00816115" w:rsidP="003B4BE1">
            <w:pPr>
              <w:jc w:val="both"/>
            </w:pPr>
            <w:r w:rsidRPr="0010039E">
              <w:t>8. Доля  учителей  коми языка  с  высшей  и  первой категорией от общего количества учителей коми языка.</w:t>
            </w:r>
          </w:p>
          <w:p w:rsidR="00816115" w:rsidRPr="0010039E" w:rsidRDefault="00816115" w:rsidP="003B4BE1">
            <w:pPr>
              <w:jc w:val="both"/>
            </w:pPr>
            <w:r w:rsidRPr="0010039E">
              <w:t>9.Доля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816115" w:rsidRPr="0010039E" w:rsidRDefault="00816115" w:rsidP="003B4BE1">
            <w:pPr>
              <w:jc w:val="both"/>
              <w:rPr>
                <w:color w:val="000000" w:themeColor="text1"/>
              </w:rPr>
            </w:pPr>
            <w:r w:rsidRPr="0010039E">
              <w:rPr>
                <w:color w:val="000000" w:themeColor="text1"/>
              </w:rPr>
              <w:t xml:space="preserve">10. Количество  образовательных </w:t>
            </w:r>
            <w:proofErr w:type="gramStart"/>
            <w:r w:rsidRPr="0010039E">
              <w:rPr>
                <w:color w:val="000000" w:themeColor="text1"/>
              </w:rPr>
              <w:t>организаций</w:t>
            </w:r>
            <w:proofErr w:type="gramEnd"/>
            <w:r w:rsidRPr="0010039E">
              <w:rPr>
                <w:color w:val="000000" w:themeColor="text1"/>
              </w:rPr>
              <w:t xml:space="preserve"> в которых выполнены организационные, инженерно-технические, правовые и иные мероприятия </w:t>
            </w:r>
            <w:r w:rsidRPr="0010039E">
              <w:rPr>
                <w:color w:val="000000" w:themeColor="text1"/>
              </w:rPr>
              <w:lastRenderedPageBreak/>
              <w:t>по обеспечению антитеррористической защищённости.</w:t>
            </w:r>
          </w:p>
          <w:p w:rsidR="00816115" w:rsidRPr="0010039E" w:rsidRDefault="00816115" w:rsidP="003B4BE1">
            <w:pPr>
              <w:jc w:val="both"/>
            </w:pPr>
            <w:r w:rsidRPr="0010039E">
              <w:t>11.Доля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816115" w:rsidRPr="0010039E" w:rsidRDefault="00816115" w:rsidP="003B4BE1">
            <w:pPr>
              <w:jc w:val="both"/>
              <w:rPr>
                <w:color w:val="000000" w:themeColor="text1"/>
              </w:rPr>
            </w:pPr>
            <w:r w:rsidRPr="0010039E">
              <w:rPr>
                <w:color w:val="000000" w:themeColor="text1"/>
              </w:rPr>
              <w:t>12.</w:t>
            </w:r>
            <w:r w:rsidRPr="0010039E">
              <w:t xml:space="preserve"> </w:t>
            </w:r>
            <w:r w:rsidRPr="0010039E">
              <w:rPr>
                <w:color w:val="000000" w:themeColor="text1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  <w:p w:rsidR="00816115" w:rsidRPr="0010039E" w:rsidRDefault="00816115" w:rsidP="003B4BE1">
            <w:pPr>
              <w:jc w:val="both"/>
              <w:rPr>
                <w:color w:val="000000" w:themeColor="text1"/>
              </w:rPr>
            </w:pPr>
            <w:r w:rsidRPr="0010039E">
              <w:rPr>
                <w:color w:val="000000" w:themeColor="text1"/>
              </w:rPr>
              <w:t>13.Число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 - научного и гуманитарного профилей.</w:t>
            </w:r>
          </w:p>
          <w:p w:rsidR="00816115" w:rsidRPr="0010039E" w:rsidRDefault="00816115" w:rsidP="003B4BE1">
            <w:pPr>
              <w:jc w:val="both"/>
              <w:rPr>
                <w:color w:val="000000" w:themeColor="text1"/>
              </w:rPr>
            </w:pPr>
            <w:r w:rsidRPr="0010039E">
              <w:rPr>
                <w:color w:val="000000" w:themeColor="text1"/>
              </w:rPr>
              <w:t>14.Численность обучающихся, охваченных основными и дополнительными общеобразовательными программами цифрового, естественно - научного и гуманитарного профилей</w:t>
            </w:r>
          </w:p>
          <w:p w:rsidR="00816115" w:rsidRPr="0010039E" w:rsidRDefault="00816115" w:rsidP="003B4BE1">
            <w:pPr>
              <w:jc w:val="both"/>
              <w:rPr>
                <w:color w:val="000000" w:themeColor="text1"/>
              </w:rPr>
            </w:pPr>
            <w:r w:rsidRPr="0010039E">
              <w:rPr>
                <w:color w:val="000000" w:themeColor="text1"/>
              </w:rPr>
              <w:t>15.Среднесписочная численность педагогических работников образовательных организаций в муниципальном районе</w:t>
            </w:r>
          </w:p>
          <w:p w:rsidR="00816115" w:rsidRPr="0010039E" w:rsidRDefault="00816115" w:rsidP="003B4BE1">
            <w:pPr>
              <w:jc w:val="both"/>
            </w:pPr>
            <w:r w:rsidRPr="0010039E">
              <w:t>16.Доля обучающихся, изучающих коми язык, от общего количества обучающихся.</w:t>
            </w:r>
          </w:p>
          <w:p w:rsidR="00816115" w:rsidRPr="0010039E" w:rsidRDefault="00816115" w:rsidP="003B4BE1">
            <w:pPr>
              <w:widowControl w:val="0"/>
              <w:jc w:val="both"/>
            </w:pPr>
            <w:r w:rsidRPr="0010039E">
              <w:t>1</w:t>
            </w:r>
            <w:r w:rsidR="00304A52" w:rsidRPr="0010039E">
              <w:t>7</w:t>
            </w:r>
            <w:r w:rsidRPr="0010039E">
              <w:t>.Доля общеобразовательных организаций, реализующих Программы развития воспитательной компоненты в школе.</w:t>
            </w:r>
          </w:p>
          <w:p w:rsidR="00816115" w:rsidRPr="0010039E" w:rsidRDefault="00304A52" w:rsidP="003B4BE1">
            <w:pPr>
              <w:widowControl w:val="0"/>
              <w:jc w:val="both"/>
            </w:pPr>
            <w:r w:rsidRPr="0010039E">
              <w:t>18</w:t>
            </w:r>
            <w:r w:rsidR="00816115" w:rsidRPr="0010039E">
              <w:t>. 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816115" w:rsidRPr="0010039E" w:rsidRDefault="00816115" w:rsidP="003B4BE1">
            <w:pPr>
              <w:widowControl w:val="0"/>
              <w:jc w:val="both"/>
            </w:pPr>
            <w:r w:rsidRPr="0010039E">
              <w:t>начальное общее образование;</w:t>
            </w:r>
          </w:p>
          <w:p w:rsidR="00816115" w:rsidRPr="0010039E" w:rsidRDefault="00816115" w:rsidP="003B4BE1">
            <w:pPr>
              <w:widowControl w:val="0"/>
              <w:jc w:val="both"/>
            </w:pPr>
            <w:r w:rsidRPr="0010039E">
              <w:t>основное общее образование;</w:t>
            </w:r>
          </w:p>
          <w:p w:rsidR="00816115" w:rsidRPr="0010039E" w:rsidRDefault="00816115" w:rsidP="003B4BE1">
            <w:pPr>
              <w:widowControl w:val="0"/>
              <w:jc w:val="both"/>
            </w:pPr>
            <w:r w:rsidRPr="0010039E">
              <w:t>среднее общее образование.</w:t>
            </w:r>
          </w:p>
          <w:p w:rsidR="00816115" w:rsidRPr="0010039E" w:rsidRDefault="00304A52" w:rsidP="003B4BE1">
            <w:pPr>
              <w:widowControl w:val="0"/>
              <w:jc w:val="both"/>
            </w:pPr>
            <w:r w:rsidRPr="0010039E">
              <w:t>19</w:t>
            </w:r>
            <w:r w:rsidR="00816115" w:rsidRPr="0010039E">
              <w:t>.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спортом.</w:t>
            </w:r>
          </w:p>
          <w:p w:rsidR="00816115" w:rsidRPr="0010039E" w:rsidRDefault="00304A52" w:rsidP="003B4BE1">
            <w:pPr>
              <w:widowControl w:val="0"/>
              <w:ind w:left="72" w:hanging="72"/>
              <w:jc w:val="both"/>
            </w:pPr>
            <w:r w:rsidRPr="0010039E">
              <w:t>20</w:t>
            </w:r>
            <w:r w:rsidR="00816115" w:rsidRPr="0010039E">
              <w:t>. 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816115" w:rsidRPr="0010039E" w:rsidRDefault="00304A52" w:rsidP="003B4BE1">
            <w:pPr>
              <w:widowControl w:val="0"/>
              <w:jc w:val="both"/>
            </w:pPr>
            <w:r w:rsidRPr="0010039E">
              <w:t>21</w:t>
            </w:r>
            <w:r w:rsidR="00816115" w:rsidRPr="0010039E">
              <w:t>.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816115" w:rsidRPr="0010039E" w:rsidRDefault="00816115" w:rsidP="003B4BE1">
            <w:pPr>
              <w:widowControl w:val="0"/>
              <w:jc w:val="both"/>
            </w:pPr>
            <w:r w:rsidRPr="0010039E">
              <w:t>2</w:t>
            </w:r>
            <w:r w:rsidR="00304A52" w:rsidRPr="0010039E">
              <w:t>2</w:t>
            </w:r>
            <w:r w:rsidRPr="0010039E">
              <w:t>.Доля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организациях.</w:t>
            </w:r>
          </w:p>
          <w:p w:rsidR="00816115" w:rsidRPr="0010039E" w:rsidRDefault="00304A52" w:rsidP="003B4BE1">
            <w:pPr>
              <w:widowControl w:val="0"/>
              <w:jc w:val="both"/>
            </w:pPr>
            <w:r w:rsidRPr="0010039E">
              <w:t>23</w:t>
            </w:r>
            <w:r w:rsidR="00816115" w:rsidRPr="0010039E">
              <w:t>. Доля обучающихся, прошедших обучение по курсу «Всеобуч по плаванию» от общего числа обучающихся.</w:t>
            </w:r>
          </w:p>
          <w:p w:rsidR="00816115" w:rsidRPr="0010039E" w:rsidRDefault="00304A52" w:rsidP="003B4BE1">
            <w:pPr>
              <w:widowControl w:val="0"/>
              <w:jc w:val="both"/>
            </w:pPr>
            <w:r w:rsidRPr="0010039E">
              <w:t>24</w:t>
            </w:r>
            <w:r w:rsidR="00816115" w:rsidRPr="0010039E">
              <w:t>. Количество построенных объектов социальной сферы.</w:t>
            </w:r>
          </w:p>
          <w:p w:rsidR="00816115" w:rsidRPr="0010039E" w:rsidRDefault="00304A52" w:rsidP="003B4B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03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6115" w:rsidRPr="0010039E">
              <w:rPr>
                <w:rFonts w:ascii="Times New Roman" w:hAnsi="Times New Roman" w:cs="Times New Roman"/>
                <w:sz w:val="24"/>
                <w:szCs w:val="24"/>
              </w:rPr>
              <w:t>. Количество привлеченных молодых специалистов в образовательные организации.</w:t>
            </w:r>
          </w:p>
          <w:p w:rsidR="00816115" w:rsidRPr="0010039E" w:rsidRDefault="00304A52" w:rsidP="003B4B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039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6115" w:rsidRPr="0010039E">
              <w:rPr>
                <w:rFonts w:ascii="Times New Roman" w:hAnsi="Times New Roman" w:cs="Times New Roman"/>
                <w:sz w:val="24"/>
                <w:szCs w:val="24"/>
              </w:rPr>
              <w:t>. 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  <w:p w:rsidR="00816115" w:rsidRPr="0010039E" w:rsidRDefault="00304A52" w:rsidP="003B4B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03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6115" w:rsidRPr="0010039E">
              <w:rPr>
                <w:rFonts w:ascii="Times New Roman" w:hAnsi="Times New Roman" w:cs="Times New Roman"/>
                <w:sz w:val="24"/>
                <w:szCs w:val="24"/>
              </w:rPr>
              <w:t>.  В общеобразовательных организациях обновлена материально-техническая</w:t>
            </w:r>
          </w:p>
          <w:p w:rsidR="00816115" w:rsidRPr="0010039E" w:rsidRDefault="00816115" w:rsidP="003B4B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039E">
              <w:rPr>
                <w:rFonts w:ascii="Times New Roman" w:hAnsi="Times New Roman" w:cs="Times New Roman"/>
                <w:sz w:val="24"/>
                <w:szCs w:val="24"/>
              </w:rPr>
              <w:t>база для занятий детей физической культурой и спортом.</w:t>
            </w:r>
          </w:p>
        </w:tc>
      </w:tr>
    </w:tbl>
    <w:p w:rsidR="00BD4803" w:rsidRDefault="00FC6E3A" w:rsidP="00FC6E3A">
      <w:pPr>
        <w:ind w:firstLine="567"/>
        <w:jc w:val="right"/>
      </w:pPr>
      <w:r w:rsidRPr="00FC6E3A">
        <w:lastRenderedPageBreak/>
        <w:t>»;</w:t>
      </w:r>
    </w:p>
    <w:p w:rsidR="00BF3157" w:rsidRDefault="00551A49" w:rsidP="00DD71F1">
      <w:pPr>
        <w:ind w:firstLine="567"/>
        <w:jc w:val="both"/>
      </w:pPr>
      <w:r>
        <w:lastRenderedPageBreak/>
        <w:t>4</w:t>
      </w:r>
      <w:r w:rsidR="00BF3157">
        <w:t xml:space="preserve">. </w:t>
      </w:r>
      <w:r w:rsidR="00BF3157" w:rsidRPr="00BF3157">
        <w:t>В приложении 1 к постановлению администрации МР «Печора» в паспорте подпрограм</w:t>
      </w:r>
      <w:r w:rsidR="00EF7FCF">
        <w:t>мы 3 «Дети и молодёжь» позицию 6</w:t>
      </w:r>
      <w:r w:rsidR="00BF3157" w:rsidRPr="00BF3157">
        <w:t xml:space="preserve"> изложить в следующей редакции:</w:t>
      </w:r>
    </w:p>
    <w:p w:rsidR="00DD71F1" w:rsidRDefault="00DD71F1" w:rsidP="00DD71F1">
      <w:pPr>
        <w:ind w:firstLine="567"/>
        <w:jc w:val="both"/>
      </w:pPr>
      <w:r>
        <w:t>«</w:t>
      </w:r>
    </w:p>
    <w:tbl>
      <w:tblPr>
        <w:tblpPr w:leftFromText="180" w:rightFromText="180" w:vertAnchor="text" w:tblpXSpec="righ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655"/>
      </w:tblGrid>
      <w:tr w:rsidR="00112BAD" w:rsidRPr="00655834" w:rsidTr="00EF7FCF">
        <w:trPr>
          <w:trHeight w:val="1553"/>
        </w:trPr>
        <w:tc>
          <w:tcPr>
            <w:tcW w:w="2376" w:type="dxa"/>
            <w:shd w:val="clear" w:color="auto" w:fill="auto"/>
          </w:tcPr>
          <w:p w:rsidR="00112BAD" w:rsidRPr="00C4210C" w:rsidRDefault="00112BAD" w:rsidP="003B4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655" w:type="dxa"/>
            <w:shd w:val="clear" w:color="auto" w:fill="auto"/>
          </w:tcPr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 xml:space="preserve">1. 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группы. 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 xml:space="preserve">2. Удельный вес детей, состоящих на  </w:t>
            </w:r>
            <w:proofErr w:type="spellStart"/>
            <w:r w:rsidRPr="006108BD">
              <w:rPr>
                <w:bCs/>
                <w:color w:val="000000"/>
              </w:rPr>
              <w:t>внутришкольном</w:t>
            </w:r>
            <w:proofErr w:type="spellEnd"/>
            <w:r w:rsidRPr="006108BD">
              <w:rPr>
                <w:bCs/>
                <w:color w:val="000000"/>
              </w:rPr>
              <w:t xml:space="preserve"> учете, охваченных внеурочной деятельностью, в общем числе детей школьного возраста.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 xml:space="preserve">3. 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 xml:space="preserve">4. </w:t>
            </w:r>
            <w:r w:rsidRPr="006108BD">
              <w:t xml:space="preserve"> </w:t>
            </w:r>
            <w:r w:rsidRPr="006108BD">
              <w:rPr>
                <w:bCs/>
                <w:color w:val="000000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детей в муниципальном образовании 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5. Среднесписочная численность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6. 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7. 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8. 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9. Количество созданных новых мест дополнительного образования.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 w:themeColor="text1"/>
              </w:rPr>
            </w:pPr>
            <w:r w:rsidRPr="006108BD">
              <w:rPr>
                <w:bCs/>
                <w:color w:val="000000" w:themeColor="text1"/>
              </w:rPr>
              <w:t>10.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11. 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12. 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образования.</w:t>
            </w:r>
          </w:p>
          <w:p w:rsidR="00112BAD" w:rsidRPr="006108B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13. 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112BAD" w:rsidRPr="006108BD" w:rsidRDefault="00112BAD" w:rsidP="003B4BE1">
            <w:pPr>
              <w:suppressAutoHyphens/>
              <w:snapToGrid w:val="0"/>
              <w:ind w:firstLine="129"/>
              <w:jc w:val="both"/>
              <w:rPr>
                <w:b/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14. 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 организаций.</w:t>
            </w:r>
            <w:r w:rsidRPr="006108BD">
              <w:rPr>
                <w:b/>
                <w:bCs/>
                <w:color w:val="000000"/>
              </w:rPr>
              <w:t xml:space="preserve">     </w:t>
            </w:r>
          </w:p>
          <w:p w:rsidR="00112BAD" w:rsidRPr="006108BD" w:rsidRDefault="00112BAD" w:rsidP="003B4BE1">
            <w:pPr>
              <w:suppressAutoHyphens/>
              <w:snapToGrid w:val="0"/>
              <w:ind w:firstLine="129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 xml:space="preserve">15. Доля расходов на оплату труда административно-управленческого и вспомогательного персонала в фонде </w:t>
            </w:r>
            <w:proofErr w:type="gramStart"/>
            <w:r w:rsidRPr="006108BD">
              <w:rPr>
                <w:bCs/>
                <w:color w:val="000000"/>
              </w:rPr>
              <w:t>оплаты труда муниципальных учреждений дополнительного образования детей</w:t>
            </w:r>
            <w:proofErr w:type="gramEnd"/>
            <w:r w:rsidRPr="006108BD">
              <w:rPr>
                <w:bCs/>
                <w:color w:val="000000"/>
              </w:rPr>
              <w:t>.</w:t>
            </w:r>
          </w:p>
          <w:p w:rsidR="00112BAD" w:rsidRPr="006108BD" w:rsidRDefault="00112BAD" w:rsidP="003B4BE1">
            <w:pPr>
              <w:suppressAutoHyphens/>
              <w:snapToGrid w:val="0"/>
              <w:ind w:firstLine="129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lastRenderedPageBreak/>
              <w:t>16. Доля выполненных мероприятий в общем количестве мероприятий,</w:t>
            </w:r>
          </w:p>
          <w:p w:rsidR="00112BAD" w:rsidRPr="004213CD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6108BD">
              <w:rPr>
                <w:bCs/>
                <w:color w:val="000000"/>
              </w:rPr>
              <w:t>утвержденных Планом мероприятий по оптимизации бюджетных расходов</w:t>
            </w:r>
          </w:p>
          <w:p w:rsidR="00112BAD" w:rsidRPr="00655834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4213CD">
              <w:rPr>
                <w:bCs/>
                <w:color w:val="000000"/>
              </w:rPr>
              <w:t>в сфере образования (в части муниципальных учреждений</w:t>
            </w:r>
            <w:r>
              <w:rPr>
                <w:bCs/>
                <w:color w:val="000000"/>
              </w:rPr>
              <w:t xml:space="preserve"> </w:t>
            </w:r>
            <w:r w:rsidRPr="004213CD">
              <w:rPr>
                <w:bCs/>
                <w:color w:val="000000"/>
              </w:rPr>
              <w:t>дополнительного образования детей).</w:t>
            </w:r>
            <w:r w:rsidRPr="00194DEC">
              <w:rPr>
                <w:bCs/>
                <w:color w:val="000000"/>
              </w:rPr>
              <w:t xml:space="preserve"> </w:t>
            </w:r>
          </w:p>
          <w:p w:rsidR="00112BAD" w:rsidRPr="00655834" w:rsidRDefault="00112BAD" w:rsidP="003B4BE1">
            <w:pPr>
              <w:suppressAutoHyphens/>
              <w:snapToGrid w:val="0"/>
              <w:jc w:val="both"/>
              <w:rPr>
                <w:bCs/>
                <w:color w:val="000000"/>
              </w:rPr>
            </w:pPr>
            <w:r w:rsidRPr="000D1624">
              <w:rPr>
                <w:bCs/>
                <w:color w:val="000000"/>
              </w:rPr>
              <w:t>17. Количество реализованных мероприятий, направленных на развитие молодежной политики</w:t>
            </w:r>
          </w:p>
        </w:tc>
      </w:tr>
    </w:tbl>
    <w:p w:rsidR="00112BAD" w:rsidRDefault="00494B83" w:rsidP="00EF7FCF">
      <w:pPr>
        <w:ind w:firstLine="567"/>
        <w:jc w:val="right"/>
      </w:pPr>
      <w:r w:rsidRPr="00494B83">
        <w:lastRenderedPageBreak/>
        <w:t>»;</w:t>
      </w:r>
    </w:p>
    <w:p w:rsidR="0081723B" w:rsidRDefault="00551A49" w:rsidP="00AB59C3">
      <w:pPr>
        <w:ind w:firstLine="567"/>
        <w:jc w:val="both"/>
      </w:pPr>
      <w:r>
        <w:t>5</w:t>
      </w:r>
      <w:r w:rsidR="00C35197">
        <w:t>. Приложение 1</w:t>
      </w:r>
      <w:r w:rsidR="00D62E6B" w:rsidRPr="00AB59C3"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551A49" w:rsidRDefault="00551A49" w:rsidP="00AB59C3">
      <w:pPr>
        <w:ind w:firstLine="567"/>
        <w:jc w:val="both"/>
      </w:pPr>
      <w:r>
        <w:t xml:space="preserve">6. </w:t>
      </w:r>
      <w:r w:rsidRPr="00551A49">
        <w:t xml:space="preserve">Приложение 2 к муниципальной программе изложить </w:t>
      </w:r>
      <w:r w:rsidR="00C35197">
        <w:t>в редакции согласно приложению 2</w:t>
      </w:r>
      <w:r w:rsidRPr="00551A49">
        <w:t xml:space="preserve"> к изменениям, вносимым в постановление администрации МР «Печора» от 31.12.2019 г. № 1672.</w:t>
      </w:r>
    </w:p>
    <w:p w:rsidR="00C35197" w:rsidRPr="000A397B" w:rsidRDefault="00C35197" w:rsidP="00AB59C3">
      <w:pPr>
        <w:ind w:firstLine="567"/>
        <w:jc w:val="both"/>
      </w:pPr>
      <w:r>
        <w:t>7.  Приложение 3</w:t>
      </w:r>
      <w:r w:rsidRPr="00C35197">
        <w:t xml:space="preserve"> к муниципальной программе изложить </w:t>
      </w:r>
      <w:r>
        <w:t>в редакции согласно приложению 3</w:t>
      </w:r>
      <w:r w:rsidRPr="00C35197">
        <w:t xml:space="preserve"> к изменениям, вносимым в постановление администрации МР «Печора» от 31.12.2019 г. № 1672.</w:t>
      </w:r>
    </w:p>
    <w:sectPr w:rsidR="00C35197" w:rsidRPr="000A397B" w:rsidSect="008F4397">
      <w:footerReference w:type="even" r:id="rId9"/>
      <w:footerReference w:type="default" r:id="rId10"/>
      <w:pgSz w:w="11906" w:h="16838"/>
      <w:pgMar w:top="28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7B2" w:rsidRDefault="006877B2" w:rsidP="000A397B">
      <w:r>
        <w:separator/>
      </w:r>
    </w:p>
  </w:endnote>
  <w:endnote w:type="continuationSeparator" w:id="0">
    <w:p w:rsidR="006877B2" w:rsidRDefault="006877B2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D2EA8">
      <w:rPr>
        <w:rStyle w:val="af6"/>
      </w:rPr>
      <w:t>2</w: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7B2" w:rsidRDefault="006877B2" w:rsidP="000A397B">
      <w:r>
        <w:separator/>
      </w:r>
    </w:p>
  </w:footnote>
  <w:footnote w:type="continuationSeparator" w:id="0">
    <w:p w:rsidR="006877B2" w:rsidRDefault="006877B2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46B4"/>
    <w:rsid w:val="000154EF"/>
    <w:rsid w:val="00077F7A"/>
    <w:rsid w:val="000A397B"/>
    <w:rsid w:val="000C5B6C"/>
    <w:rsid w:val="000D1624"/>
    <w:rsid w:val="000D494D"/>
    <w:rsid w:val="000D4BA1"/>
    <w:rsid w:val="000D63E3"/>
    <w:rsid w:val="000D7969"/>
    <w:rsid w:val="000F3A7F"/>
    <w:rsid w:val="0010039E"/>
    <w:rsid w:val="00112BAD"/>
    <w:rsid w:val="00121CDC"/>
    <w:rsid w:val="00127523"/>
    <w:rsid w:val="00136AEE"/>
    <w:rsid w:val="00177C8B"/>
    <w:rsid w:val="00183C0B"/>
    <w:rsid w:val="00191340"/>
    <w:rsid w:val="0019424F"/>
    <w:rsid w:val="001B6651"/>
    <w:rsid w:val="001D631E"/>
    <w:rsid w:val="002323D9"/>
    <w:rsid w:val="00263FDA"/>
    <w:rsid w:val="0028170B"/>
    <w:rsid w:val="002C524E"/>
    <w:rsid w:val="002E4135"/>
    <w:rsid w:val="00304A52"/>
    <w:rsid w:val="0030592A"/>
    <w:rsid w:val="003463C7"/>
    <w:rsid w:val="0036772A"/>
    <w:rsid w:val="0037164A"/>
    <w:rsid w:val="00395299"/>
    <w:rsid w:val="003B2C79"/>
    <w:rsid w:val="003D2EA8"/>
    <w:rsid w:val="003D36E3"/>
    <w:rsid w:val="0041576B"/>
    <w:rsid w:val="00426E3E"/>
    <w:rsid w:val="004317D5"/>
    <w:rsid w:val="0043197C"/>
    <w:rsid w:val="00455E05"/>
    <w:rsid w:val="004622F9"/>
    <w:rsid w:val="00470E84"/>
    <w:rsid w:val="00480FA5"/>
    <w:rsid w:val="00494B83"/>
    <w:rsid w:val="004F16A8"/>
    <w:rsid w:val="005064DC"/>
    <w:rsid w:val="00513413"/>
    <w:rsid w:val="00520757"/>
    <w:rsid w:val="00551A49"/>
    <w:rsid w:val="00573A91"/>
    <w:rsid w:val="00596938"/>
    <w:rsid w:val="005A55A2"/>
    <w:rsid w:val="005E079C"/>
    <w:rsid w:val="005F1B30"/>
    <w:rsid w:val="005F5143"/>
    <w:rsid w:val="005F6907"/>
    <w:rsid w:val="00607D32"/>
    <w:rsid w:val="00635060"/>
    <w:rsid w:val="0065078B"/>
    <w:rsid w:val="006826FE"/>
    <w:rsid w:val="006877B2"/>
    <w:rsid w:val="00687FB0"/>
    <w:rsid w:val="006961F1"/>
    <w:rsid w:val="006C1875"/>
    <w:rsid w:val="006D3B60"/>
    <w:rsid w:val="00700408"/>
    <w:rsid w:val="00715CE1"/>
    <w:rsid w:val="00724665"/>
    <w:rsid w:val="0073203D"/>
    <w:rsid w:val="00736905"/>
    <w:rsid w:val="00740C07"/>
    <w:rsid w:val="00785E38"/>
    <w:rsid w:val="00790765"/>
    <w:rsid w:val="00793E9E"/>
    <w:rsid w:val="007C6BED"/>
    <w:rsid w:val="00816115"/>
    <w:rsid w:val="0081723B"/>
    <w:rsid w:val="00875E21"/>
    <w:rsid w:val="008A6BA1"/>
    <w:rsid w:val="008A79C5"/>
    <w:rsid w:val="008B06AF"/>
    <w:rsid w:val="008C5395"/>
    <w:rsid w:val="008D53BA"/>
    <w:rsid w:val="008F4397"/>
    <w:rsid w:val="00910DA3"/>
    <w:rsid w:val="0091133B"/>
    <w:rsid w:val="009350CD"/>
    <w:rsid w:val="00942D5D"/>
    <w:rsid w:val="00946219"/>
    <w:rsid w:val="00966561"/>
    <w:rsid w:val="00966D00"/>
    <w:rsid w:val="009705A5"/>
    <w:rsid w:val="009815FD"/>
    <w:rsid w:val="009A7E90"/>
    <w:rsid w:val="009B67F0"/>
    <w:rsid w:val="00A429E9"/>
    <w:rsid w:val="00A55625"/>
    <w:rsid w:val="00A60C15"/>
    <w:rsid w:val="00A7419F"/>
    <w:rsid w:val="00A82231"/>
    <w:rsid w:val="00AB59C3"/>
    <w:rsid w:val="00AC79DE"/>
    <w:rsid w:val="00AD1F27"/>
    <w:rsid w:val="00AE725C"/>
    <w:rsid w:val="00AE79C3"/>
    <w:rsid w:val="00B15131"/>
    <w:rsid w:val="00B3681C"/>
    <w:rsid w:val="00B410D4"/>
    <w:rsid w:val="00B425AE"/>
    <w:rsid w:val="00B546F6"/>
    <w:rsid w:val="00B618CC"/>
    <w:rsid w:val="00B62EA4"/>
    <w:rsid w:val="00B86090"/>
    <w:rsid w:val="00B9790B"/>
    <w:rsid w:val="00BA0447"/>
    <w:rsid w:val="00BB6A5D"/>
    <w:rsid w:val="00BD4803"/>
    <w:rsid w:val="00BE21DE"/>
    <w:rsid w:val="00BF3157"/>
    <w:rsid w:val="00BF3B43"/>
    <w:rsid w:val="00C12F71"/>
    <w:rsid w:val="00C35197"/>
    <w:rsid w:val="00C41F0D"/>
    <w:rsid w:val="00C44E6E"/>
    <w:rsid w:val="00C62A23"/>
    <w:rsid w:val="00C70C3B"/>
    <w:rsid w:val="00C74DEB"/>
    <w:rsid w:val="00C90E3A"/>
    <w:rsid w:val="00C9146F"/>
    <w:rsid w:val="00CA2E4B"/>
    <w:rsid w:val="00D00296"/>
    <w:rsid w:val="00D344C3"/>
    <w:rsid w:val="00D44BDE"/>
    <w:rsid w:val="00D62E6B"/>
    <w:rsid w:val="00D7075E"/>
    <w:rsid w:val="00D92EE0"/>
    <w:rsid w:val="00DC24B6"/>
    <w:rsid w:val="00DC7101"/>
    <w:rsid w:val="00DD71F1"/>
    <w:rsid w:val="00E14D37"/>
    <w:rsid w:val="00E47357"/>
    <w:rsid w:val="00EA5A93"/>
    <w:rsid w:val="00ED1728"/>
    <w:rsid w:val="00EE08AD"/>
    <w:rsid w:val="00EE5D4B"/>
    <w:rsid w:val="00EF14B2"/>
    <w:rsid w:val="00EF5DBB"/>
    <w:rsid w:val="00EF602E"/>
    <w:rsid w:val="00EF7FCF"/>
    <w:rsid w:val="00F05CE8"/>
    <w:rsid w:val="00F10973"/>
    <w:rsid w:val="00F20093"/>
    <w:rsid w:val="00F26F5C"/>
    <w:rsid w:val="00F34C82"/>
    <w:rsid w:val="00F45986"/>
    <w:rsid w:val="00F52F8F"/>
    <w:rsid w:val="00F57189"/>
    <w:rsid w:val="00F6758E"/>
    <w:rsid w:val="00F87A6D"/>
    <w:rsid w:val="00F94F92"/>
    <w:rsid w:val="00FC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A2896-4425-49C0-8A7A-7094E719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1815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57</cp:revision>
  <cp:lastPrinted>2023-06-22T09:32:00Z</cp:lastPrinted>
  <dcterms:created xsi:type="dcterms:W3CDTF">2023-04-14T08:20:00Z</dcterms:created>
  <dcterms:modified xsi:type="dcterms:W3CDTF">2023-06-29T12:00:00Z</dcterms:modified>
</cp:coreProperties>
</file>