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78" w:rsidRDefault="00B15878" w:rsidP="00B15878">
      <w:pPr>
        <w:widowControl w:val="0"/>
        <w:jc w:val="right"/>
        <w:rPr>
          <w:szCs w:val="26"/>
        </w:rPr>
      </w:pPr>
      <w:bookmarkStart w:id="0" w:name="_GoBack"/>
      <w:bookmarkEnd w:id="0"/>
      <w:r>
        <w:rPr>
          <w:szCs w:val="26"/>
        </w:rPr>
        <w:t>Приложение 4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в постановление 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администрации МР «Печора» от 31.12.2019 г. № 1670 </w:t>
      </w:r>
    </w:p>
    <w:p w:rsidR="00B15878" w:rsidRDefault="00B15878" w:rsidP="002B318F">
      <w:pPr>
        <w:widowControl w:val="0"/>
        <w:jc w:val="right"/>
        <w:rPr>
          <w:szCs w:val="26"/>
        </w:rPr>
      </w:pPr>
    </w:p>
    <w:p w:rsidR="002B318F" w:rsidRPr="00420D20" w:rsidRDefault="002B318F" w:rsidP="002B318F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>
        <w:rPr>
          <w:szCs w:val="26"/>
        </w:rPr>
        <w:t>МО МР «Печора»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2B318F" w:rsidRPr="00420D20" w:rsidRDefault="002B318F" w:rsidP="002B318F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2B318F" w:rsidRPr="00307176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2B318F" w:rsidRPr="0043468D" w:rsidTr="005614DE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B318F" w:rsidRPr="0043468D" w:rsidTr="005614DE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2B318F" w:rsidRPr="0043468D" w:rsidTr="005614DE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84E8F" w:rsidRDefault="002B318F" w:rsidP="005614DE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>
              <w:rPr>
                <w:b w:val="0"/>
                <w:sz w:val="24"/>
                <w:szCs w:val="24"/>
              </w:rPr>
              <w:t>главного архитектора</w:t>
            </w:r>
            <w:r w:rsidRPr="00884E8F">
              <w:rPr>
                <w:b w:val="0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</w:t>
            </w:r>
            <w:r w:rsidRPr="00307176">
              <w:rPr>
                <w:sz w:val="24"/>
                <w:szCs w:val="24"/>
              </w:rPr>
              <w:lastRenderedPageBreak/>
              <w:t>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7769E0" w:rsidRDefault="002B318F" w:rsidP="005614DE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</w:t>
            </w:r>
            <w:r w:rsidRPr="00307176">
              <w:rPr>
                <w:sz w:val="24"/>
                <w:szCs w:val="24"/>
              </w:rPr>
              <w:lastRenderedPageBreak/>
              <w:t>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lastRenderedPageBreak/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</w:t>
            </w:r>
            <w:r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использованием приборов учета  в </w:t>
            </w:r>
            <w:r w:rsidRPr="00307176">
              <w:rPr>
                <w:sz w:val="24"/>
                <w:szCs w:val="24"/>
              </w:rPr>
              <w:lastRenderedPageBreak/>
              <w:t>общем объеме природного газа, потребляемого (используемой)  на территории МО</w:t>
            </w:r>
            <w:r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 xml:space="preserve">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расчеты за который осуществляются с использованием приборов учета  / общий объем природного </w:t>
            </w:r>
            <w:r w:rsidRPr="00307176">
              <w:rPr>
                <w:sz w:val="24"/>
                <w:szCs w:val="24"/>
              </w:rPr>
              <w:lastRenderedPageBreak/>
              <w:t>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2B318F" w:rsidRPr="0043468D" w:rsidTr="005614DE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2B318F" w:rsidRPr="0043468D" w:rsidTr="005614DE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 единиц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 xml:space="preserve">по обустройству источников холодного </w:t>
            </w:r>
            <w:r w:rsidRPr="002D6AF0">
              <w:rPr>
                <w:sz w:val="24"/>
                <w:szCs w:val="24"/>
              </w:rPr>
              <w:lastRenderedPageBreak/>
              <w:t>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Задача 3. Развитие системы газоснабжения и повышение газификации потребителей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F46454" w:rsidRDefault="002B318F" w:rsidP="005614DE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5E74AD" w:rsidRDefault="002B318F" w:rsidP="005614DE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2B318F" w:rsidRDefault="002B318F" w:rsidP="005614DE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2B318F" w:rsidRPr="0043468D" w:rsidTr="005614DE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A1EFD" w:rsidRDefault="002B318F" w:rsidP="005614DE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«Печора», бюджетно-финансовый отдел администрации МР «Печора»</w:t>
            </w:r>
          </w:p>
        </w:tc>
      </w:tr>
      <w:tr w:rsidR="002B318F" w:rsidRPr="0043468D" w:rsidTr="005614DE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2B318F" w:rsidRPr="0043468D" w:rsidTr="005614DE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14C93" w:rsidRDefault="002B318F" w:rsidP="005614DE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90BA0" w:rsidRDefault="002B318F" w:rsidP="005614D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главного архитектора администрации МР </w:t>
            </w:r>
            <w:r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архитектор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7176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Pr="00307176">
              <w:rPr>
                <w:sz w:val="24"/>
                <w:szCs w:val="24"/>
              </w:rPr>
              <w:t xml:space="preserve">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2B318F" w:rsidRDefault="002B318F" w:rsidP="005614DE">
            <w:pPr>
              <w:jc w:val="center"/>
              <w:rPr>
                <w:sz w:val="24"/>
                <w:szCs w:val="24"/>
              </w:rPr>
            </w:pP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7C3" w:rsidRDefault="002B318F" w:rsidP="005614DE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5614DE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2B318F" w:rsidRPr="0043468D" w:rsidTr="005614DE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пользования местного значения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sz w:val="24"/>
                <w:szCs w:val="24"/>
              </w:rPr>
              <w:t>отдела благоустройства,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t xml:space="preserve">общего пользования местного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83D" w:rsidRDefault="002B318F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6783D" w:rsidRDefault="002B318F" w:rsidP="005614DE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B318F" w:rsidRPr="0043468D" w:rsidTr="005614DE">
        <w:trPr>
          <w:trHeight w:val="1788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E219FC" w:rsidRDefault="002B318F" w:rsidP="005614D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2B318F" w:rsidRDefault="002B318F" w:rsidP="005614DE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pStyle w:val="a3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7A108A" w:rsidRDefault="002B318F" w:rsidP="005614DE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E6108C" w:rsidRPr="0043468D" w:rsidTr="00180C90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8C" w:rsidRDefault="00E6108C" w:rsidP="005614DE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7A108A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E6108C" w:rsidRPr="0043468D" w:rsidTr="000952F9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8C" w:rsidRDefault="00E6108C" w:rsidP="005614DE">
            <w:pPr>
              <w:rPr>
                <w:sz w:val="24"/>
                <w:szCs w:val="24"/>
              </w:rPr>
            </w:pPr>
            <w:r w:rsidRPr="00E6108C">
              <w:rPr>
                <w:sz w:val="24"/>
                <w:szCs w:val="24"/>
              </w:rPr>
              <w:t>Задача 3.  Обеспечение устойчивого и безопасного функционирования автомобильного, железнодорожного, воздушного и водного видов транспорта</w:t>
            </w:r>
          </w:p>
        </w:tc>
      </w:tr>
      <w:tr w:rsidR="00E6108C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08C" w:rsidRDefault="00E6108C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8C" w:rsidRPr="00E97334" w:rsidRDefault="00E6108C" w:rsidP="005614DE">
            <w:pPr>
              <w:overflowPunct/>
              <w:rPr>
                <w:sz w:val="24"/>
                <w:szCs w:val="24"/>
                <w:lang w:eastAsia="en-US"/>
              </w:rPr>
            </w:pPr>
            <w:r w:rsidRPr="00E6108C">
              <w:rPr>
                <w:sz w:val="24"/>
                <w:szCs w:val="24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8C" w:rsidRDefault="00E6108C" w:rsidP="005614DE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8C" w:rsidRDefault="00E6108C" w:rsidP="00561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8C" w:rsidRDefault="00E6108C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Удельный расход ЭЭ на снабжение органов местного самоуправления и </w:t>
            </w:r>
            <w:r w:rsidRPr="00307176">
              <w:rPr>
                <w:sz w:val="24"/>
                <w:szCs w:val="24"/>
              </w:rPr>
              <w:lastRenderedPageBreak/>
              <w:t>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электрической энергии в органах местного самоуправления и </w:t>
            </w:r>
            <w:r w:rsidRPr="00307176">
              <w:rPr>
                <w:sz w:val="24"/>
                <w:szCs w:val="24"/>
              </w:rPr>
              <w:lastRenderedPageBreak/>
              <w:t xml:space="preserve">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</w:t>
            </w:r>
            <w:r w:rsidRPr="00307176">
              <w:rPr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</w:t>
            </w:r>
            <w:r w:rsidRPr="00307176">
              <w:rPr>
                <w:sz w:val="24"/>
                <w:szCs w:val="24"/>
              </w:rPr>
              <w:lastRenderedPageBreak/>
              <w:t>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5614DE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</w:tr>
      <w:tr w:rsidR="002B318F" w:rsidRPr="0043468D" w:rsidTr="005614DE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2B318F" w:rsidRPr="00307176" w:rsidRDefault="002B318F" w:rsidP="005614DE">
            <w:pPr>
              <w:rPr>
                <w:sz w:val="24"/>
                <w:szCs w:val="24"/>
              </w:rPr>
            </w:pP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A46DE" w:rsidRDefault="002B318F" w:rsidP="005614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B423D" w:rsidRDefault="002B318F" w:rsidP="005614D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CA46DE" w:rsidRDefault="002B318F" w:rsidP="005614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211201" w:rsidRDefault="002B318F" w:rsidP="005614D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коронавирусной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76483" w:rsidRDefault="002B318F" w:rsidP="005614DE">
            <w:pPr>
              <w:jc w:val="center"/>
              <w:rPr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76483" w:rsidRDefault="002B318F" w:rsidP="005614DE">
            <w:pPr>
              <w:jc w:val="both"/>
              <w:rPr>
                <w:rFonts w:eastAsia="Calibri"/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2B318F" w:rsidRPr="0043468D" w:rsidTr="005614DE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105DB7" w:rsidRDefault="002B318F" w:rsidP="005614DE">
            <w:pPr>
              <w:jc w:val="both"/>
              <w:rPr>
                <w:rFonts w:eastAsia="Calibri"/>
                <w:sz w:val="24"/>
                <w:szCs w:val="24"/>
              </w:rPr>
            </w:pPr>
            <w:r w:rsidRPr="00105DB7">
              <w:rPr>
                <w:rFonts w:eastAsia="Calibri"/>
                <w:sz w:val="24"/>
                <w:szCs w:val="24"/>
              </w:rPr>
              <w:t>Осуществлен</w:t>
            </w:r>
            <w:r>
              <w:rPr>
                <w:rFonts w:eastAsia="Calibri"/>
                <w:sz w:val="24"/>
                <w:szCs w:val="24"/>
              </w:rPr>
              <w:t>ие</w:t>
            </w:r>
            <w:r w:rsidRPr="00105DB7">
              <w:rPr>
                <w:rFonts w:eastAsia="Calibri"/>
                <w:sz w:val="24"/>
                <w:szCs w:val="24"/>
              </w:rPr>
              <w:t xml:space="preserve"> содержани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105DB7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561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</w:tbl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Pr="00420D20" w:rsidRDefault="002B318F" w:rsidP="002B318F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2B318F" w:rsidRDefault="002B318F" w:rsidP="002B318F">
      <w:pPr>
        <w:widowControl w:val="0"/>
        <w:jc w:val="right"/>
        <w:rPr>
          <w:szCs w:val="26"/>
        </w:rPr>
        <w:sectPr w:rsidR="002B318F" w:rsidSect="004E7587">
          <w:pgSz w:w="16838" w:h="11906" w:orient="landscape"/>
          <w:pgMar w:top="1701" w:right="1134" w:bottom="851" w:left="624" w:header="709" w:footer="709" w:gutter="0"/>
          <w:cols w:space="708"/>
          <w:docGrid w:linePitch="360"/>
        </w:sectPr>
      </w:pPr>
    </w:p>
    <w:p w:rsidR="002D7E53" w:rsidRDefault="002D7E53"/>
    <w:sectPr w:rsidR="002D7E53" w:rsidSect="002B31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DE"/>
    <w:rsid w:val="002B318F"/>
    <w:rsid w:val="002D7E53"/>
    <w:rsid w:val="004E7587"/>
    <w:rsid w:val="00B15878"/>
    <w:rsid w:val="00D514DE"/>
    <w:rsid w:val="00E6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5</cp:revision>
  <cp:lastPrinted>2023-08-29T13:03:00Z</cp:lastPrinted>
  <dcterms:created xsi:type="dcterms:W3CDTF">2023-08-28T05:58:00Z</dcterms:created>
  <dcterms:modified xsi:type="dcterms:W3CDTF">2023-08-29T13:03:00Z</dcterms:modified>
</cp:coreProperties>
</file>