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5DE" w:rsidRDefault="003275DE" w:rsidP="003275DE">
      <w:pPr>
        <w:pStyle w:val="ConsPlusNormal"/>
        <w:jc w:val="right"/>
      </w:pPr>
      <w:r>
        <w:t xml:space="preserve">Приложение 1 </w:t>
      </w:r>
    </w:p>
    <w:p w:rsidR="003275DE" w:rsidRDefault="003275DE" w:rsidP="003275DE">
      <w:pPr>
        <w:pStyle w:val="ConsPlusNormal"/>
        <w:jc w:val="right"/>
      </w:pPr>
      <w:r>
        <w:t xml:space="preserve">к постановлению администрации МР «Печора» </w:t>
      </w:r>
    </w:p>
    <w:p w:rsidR="00F6525C" w:rsidRDefault="003275DE" w:rsidP="003275DE">
      <w:pPr>
        <w:pStyle w:val="ConsPlusNormal"/>
        <w:jc w:val="right"/>
      </w:pPr>
      <w:r>
        <w:t xml:space="preserve">от  </w:t>
      </w:r>
      <w:r w:rsidR="00CC35B6">
        <w:t>13</w:t>
      </w:r>
      <w:r>
        <w:t xml:space="preserve">  октября 2023 г. № </w:t>
      </w:r>
      <w:r w:rsidR="00CC35B6">
        <w:t>1812</w:t>
      </w:r>
    </w:p>
    <w:p w:rsidR="003275DE" w:rsidRDefault="003275DE" w:rsidP="003275DE">
      <w:pPr>
        <w:pStyle w:val="ConsPlusNormal"/>
      </w:pPr>
      <w:bookmarkStart w:id="0" w:name="_GoBack"/>
      <w:bookmarkEnd w:id="0"/>
    </w:p>
    <w:p w:rsidR="003275DE" w:rsidRDefault="003275DE" w:rsidP="003275DE">
      <w:pPr>
        <w:pStyle w:val="ConsPlusNormal"/>
      </w:pPr>
    </w:p>
    <w:p w:rsidR="00F6525C" w:rsidRDefault="00F6525C">
      <w:pPr>
        <w:pStyle w:val="ConsPlusTitle"/>
        <w:jc w:val="center"/>
      </w:pPr>
      <w:bookmarkStart w:id="1" w:name="P27"/>
      <w:bookmarkEnd w:id="1"/>
      <w:r>
        <w:t>ПОРЯДОК</w:t>
      </w:r>
    </w:p>
    <w:p w:rsidR="00F6525C" w:rsidRDefault="00623AAF">
      <w:pPr>
        <w:pStyle w:val="ConsPlusTitle"/>
        <w:jc w:val="center"/>
      </w:pPr>
      <w:r>
        <w:t>разработки прогноза социально-экономического развития</w:t>
      </w:r>
    </w:p>
    <w:p w:rsidR="00F6525C" w:rsidRDefault="00623AAF">
      <w:pPr>
        <w:pStyle w:val="ConsPlusTitle"/>
        <w:jc w:val="center"/>
      </w:pPr>
      <w:r>
        <w:t>муниципального образования городского поселения</w:t>
      </w:r>
    </w:p>
    <w:p w:rsidR="00F6525C" w:rsidRDefault="003275DE">
      <w:pPr>
        <w:pStyle w:val="ConsPlusTitle"/>
        <w:jc w:val="center"/>
      </w:pPr>
      <w:r>
        <w:t>«П</w:t>
      </w:r>
      <w:r w:rsidR="00623AAF">
        <w:t>ечора</w:t>
      </w:r>
      <w:r>
        <w:t>»</w:t>
      </w:r>
    </w:p>
    <w:p w:rsidR="00F6525C" w:rsidRDefault="00F6525C">
      <w:pPr>
        <w:pStyle w:val="ConsPlusNormal"/>
      </w:pPr>
    </w:p>
    <w:p w:rsidR="00F6525C" w:rsidRDefault="00F6525C" w:rsidP="003275DE">
      <w:pPr>
        <w:pStyle w:val="ConsPlusNormal"/>
        <w:ind w:firstLine="540"/>
        <w:jc w:val="both"/>
      </w:pPr>
      <w:r>
        <w:t xml:space="preserve">1. Настоящий Порядок устанавливает систему, порядок, сроки разработки прогноза социально-экономического развития муниципального образования </w:t>
      </w:r>
      <w:r w:rsidR="00623AAF">
        <w:t>городского поселения «Печора»</w:t>
      </w:r>
      <w:r>
        <w:t>.</w:t>
      </w:r>
    </w:p>
    <w:p w:rsidR="00F6525C" w:rsidRDefault="00F6525C" w:rsidP="003275DE">
      <w:pPr>
        <w:pStyle w:val="ConsPlusNormal"/>
        <w:ind w:firstLine="540"/>
        <w:jc w:val="both"/>
      </w:pPr>
      <w:r>
        <w:t xml:space="preserve">2. Прогноз социально-экономического развития муниципального образования </w:t>
      </w:r>
      <w:r w:rsidR="00623AAF">
        <w:t>городского поселения «Печора»</w:t>
      </w:r>
      <w:r>
        <w:t xml:space="preserve"> (далее - Прогноз) включает в себя количественные и качественные параметры развития экономики и социальной сферы муниципального образования.</w:t>
      </w:r>
    </w:p>
    <w:p w:rsidR="00F6525C" w:rsidRDefault="00F6525C" w:rsidP="003275DE">
      <w:pPr>
        <w:pStyle w:val="ConsPlusNormal"/>
        <w:ind w:firstLine="540"/>
        <w:jc w:val="both"/>
      </w:pPr>
      <w:r>
        <w:t>3. Прогноз разрабатывается ежегодно в двух вариантах - реалистичном и оптимистичном - с учетом вероятностного воздействия комплекса факторов, определяющих тенденции развития экономики и социальной сферы, на период не менее трех лет.</w:t>
      </w:r>
    </w:p>
    <w:p w:rsidR="00F6525C" w:rsidRDefault="00F6525C" w:rsidP="003275DE">
      <w:pPr>
        <w:pStyle w:val="ConsPlusNormal"/>
        <w:ind w:firstLine="540"/>
        <w:jc w:val="both"/>
      </w:pPr>
      <w:bookmarkStart w:id="2" w:name="P35"/>
      <w:bookmarkEnd w:id="2"/>
      <w:r>
        <w:t>4. Участниками процесса прогнозирования являются:</w:t>
      </w:r>
    </w:p>
    <w:p w:rsidR="00F6525C" w:rsidRDefault="00623AAF" w:rsidP="003275DE">
      <w:pPr>
        <w:pStyle w:val="ConsPlusNormal"/>
        <w:ind w:firstLine="540"/>
        <w:jc w:val="both"/>
      </w:pPr>
      <w:r>
        <w:t xml:space="preserve">- отдел экономики и инвестиций </w:t>
      </w:r>
      <w:r w:rsidR="00F6525C">
        <w:t xml:space="preserve">администрации </w:t>
      </w:r>
      <w:r>
        <w:t>муниципального района «Печора»</w:t>
      </w:r>
      <w:r w:rsidR="00F6525C">
        <w:t xml:space="preserve"> - орган, уполномоченный на разработку Прогноза;</w:t>
      </w:r>
    </w:p>
    <w:p w:rsidR="00F6525C" w:rsidRDefault="00F6525C" w:rsidP="003275DE">
      <w:pPr>
        <w:pStyle w:val="ConsPlusNormal"/>
        <w:ind w:firstLine="540"/>
        <w:jc w:val="both"/>
      </w:pPr>
      <w:r>
        <w:t xml:space="preserve">- отраслевые органы и структурные подразделения администрации </w:t>
      </w:r>
      <w:r w:rsidR="00623AAF" w:rsidRPr="00623AAF">
        <w:t>муниципального района</w:t>
      </w:r>
      <w:r w:rsidR="00623AAF">
        <w:t xml:space="preserve"> «Печора»</w:t>
      </w:r>
      <w:r>
        <w:t>;</w:t>
      </w:r>
    </w:p>
    <w:p w:rsidR="00F6525C" w:rsidRDefault="00F6525C" w:rsidP="003275DE">
      <w:pPr>
        <w:pStyle w:val="ConsPlusNormal"/>
        <w:ind w:firstLine="540"/>
        <w:jc w:val="both"/>
      </w:pPr>
      <w:r>
        <w:t xml:space="preserve">- муниципальные учреждения и предприятия </w:t>
      </w:r>
      <w:r w:rsidR="00623AAF">
        <w:t>городского поселения «Печора»</w:t>
      </w:r>
      <w:r>
        <w:t>;</w:t>
      </w:r>
    </w:p>
    <w:p w:rsidR="00F6525C" w:rsidRDefault="00F6525C" w:rsidP="003275DE">
      <w:pPr>
        <w:pStyle w:val="ConsPlusNormal"/>
        <w:ind w:firstLine="540"/>
        <w:jc w:val="both"/>
      </w:pPr>
      <w:r>
        <w:t xml:space="preserve">- организации независимо от их организационно-правовых форм и форм собственности, находящиеся на территории </w:t>
      </w:r>
      <w:r w:rsidR="00623AAF">
        <w:t>городского поселения «Печора»</w:t>
      </w:r>
      <w:r>
        <w:t>, привлекаемые к процессу прогнозирования.</w:t>
      </w:r>
    </w:p>
    <w:p w:rsidR="00F6525C" w:rsidRDefault="00F6525C" w:rsidP="003275DE">
      <w:pPr>
        <w:pStyle w:val="ConsPlusNormal"/>
        <w:ind w:firstLine="540"/>
        <w:jc w:val="both"/>
      </w:pPr>
      <w:r>
        <w:t xml:space="preserve">5. Отдел </w:t>
      </w:r>
      <w:r w:rsidR="00623AAF" w:rsidRPr="00623AAF">
        <w:t xml:space="preserve">экономики и инвестиций администрации муниципального района «Печора» </w:t>
      </w:r>
      <w:r>
        <w:t>осуществляет методическое руководство и координацию деятельности участников процесса прогнозирования, мониторинг показателей, устанавливает сроки подготовки информации и направляет запросы участникам процесса прогнозирования.</w:t>
      </w:r>
    </w:p>
    <w:p w:rsidR="00F6525C" w:rsidRDefault="00F6525C" w:rsidP="003275DE">
      <w:pPr>
        <w:pStyle w:val="ConsPlusNormal"/>
        <w:ind w:firstLine="540"/>
        <w:jc w:val="both"/>
      </w:pPr>
      <w:r>
        <w:t xml:space="preserve">6. Перечень показателей Прогноза может корректироваться </w:t>
      </w:r>
      <w:r w:rsidR="00C11743">
        <w:t>по мере необходимости</w:t>
      </w:r>
      <w:r>
        <w:t>.</w:t>
      </w:r>
    </w:p>
    <w:p w:rsidR="00F6525C" w:rsidRDefault="00C11743" w:rsidP="003275DE">
      <w:pPr>
        <w:pStyle w:val="ConsPlusNormal"/>
        <w:ind w:firstLine="540"/>
        <w:jc w:val="both"/>
      </w:pPr>
      <w:r>
        <w:t>7</w:t>
      </w:r>
      <w:r w:rsidR="00F6525C">
        <w:t xml:space="preserve">. Прогноз одобряется </w:t>
      </w:r>
      <w:r w:rsidR="00E479F1">
        <w:t>постановлением</w:t>
      </w:r>
      <w:r w:rsidR="00F6525C">
        <w:t xml:space="preserve"> администрации </w:t>
      </w:r>
      <w:r w:rsidR="00623AAF">
        <w:t>муниципального района «Печора»</w:t>
      </w:r>
      <w:r w:rsidR="00F6525C">
        <w:t xml:space="preserve"> ежегодно в срок не позднее </w:t>
      </w:r>
      <w:r w:rsidRPr="00C11743">
        <w:t>15 октября</w:t>
      </w:r>
      <w:r w:rsidR="00F6525C" w:rsidRPr="00C11743">
        <w:t>.</w:t>
      </w:r>
    </w:p>
    <w:p w:rsidR="00F6525C" w:rsidRDefault="00C11743" w:rsidP="003275DE">
      <w:pPr>
        <w:pStyle w:val="ConsPlusNormal"/>
        <w:ind w:firstLine="540"/>
        <w:jc w:val="both"/>
      </w:pPr>
      <w:r>
        <w:t>8</w:t>
      </w:r>
      <w:r w:rsidR="00F6525C">
        <w:t>. Прогноз социально-экономического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DD4EFA" w:rsidRDefault="00C11743" w:rsidP="00655FC8">
      <w:pPr>
        <w:pStyle w:val="ConsPlusNormal"/>
        <w:ind w:firstLine="540"/>
        <w:jc w:val="both"/>
      </w:pPr>
      <w:r>
        <w:t>9</w:t>
      </w:r>
      <w:r w:rsidR="00F6525C">
        <w:t xml:space="preserve">. В пояснительную записку должна включаться информация, разъясняющая причины всех существенных колебаний прогнозируемых показателей. Указанные пояснения должны вытекать из факторов, использованных при прогнозировании и обусловивших ожидаемую динамику. </w:t>
      </w:r>
    </w:p>
    <w:p w:rsidR="00914FFB" w:rsidRDefault="00914FFB" w:rsidP="00655FC8">
      <w:pPr>
        <w:pStyle w:val="ConsPlusNormal"/>
        <w:ind w:firstLine="540"/>
        <w:jc w:val="both"/>
      </w:pPr>
    </w:p>
    <w:p w:rsidR="00914FFB" w:rsidRDefault="00914FFB" w:rsidP="00914FFB">
      <w:pPr>
        <w:pStyle w:val="ConsPlusNormal"/>
        <w:ind w:firstLine="540"/>
        <w:jc w:val="center"/>
      </w:pPr>
      <w:r>
        <w:t>_______________________</w:t>
      </w:r>
    </w:p>
    <w:p w:rsidR="00F6525C" w:rsidRDefault="00F6525C" w:rsidP="00914FFB">
      <w:pPr>
        <w:pStyle w:val="ConsPlusNormal"/>
        <w:spacing w:before="100" w:after="100"/>
        <w:jc w:val="both"/>
        <w:rPr>
          <w:sz w:val="2"/>
          <w:szCs w:val="2"/>
        </w:rPr>
      </w:pPr>
    </w:p>
    <w:p w:rsidR="00914FFB" w:rsidRDefault="00914FFB" w:rsidP="00914FFB">
      <w:pPr>
        <w:pStyle w:val="ConsPlusNormal"/>
        <w:spacing w:before="100" w:after="100"/>
        <w:jc w:val="both"/>
        <w:rPr>
          <w:sz w:val="2"/>
          <w:szCs w:val="2"/>
        </w:rPr>
      </w:pPr>
    </w:p>
    <w:p w:rsidR="00914FFB" w:rsidRDefault="00914FFB" w:rsidP="00914FFB">
      <w:pPr>
        <w:pStyle w:val="ConsPlusNormal"/>
        <w:spacing w:before="100" w:after="100"/>
        <w:jc w:val="both"/>
        <w:rPr>
          <w:sz w:val="2"/>
          <w:szCs w:val="2"/>
        </w:rPr>
      </w:pPr>
    </w:p>
    <w:p w:rsidR="00C508C4" w:rsidRDefault="00C508C4"/>
    <w:sectPr w:rsidR="00C508C4" w:rsidSect="0022032D">
      <w:pgSz w:w="11905" w:h="16838"/>
      <w:pgMar w:top="1134" w:right="851" w:bottom="426" w:left="1701" w:header="0" w:footer="0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5C"/>
    <w:rsid w:val="00156FC4"/>
    <w:rsid w:val="0022032D"/>
    <w:rsid w:val="003275DE"/>
    <w:rsid w:val="00357322"/>
    <w:rsid w:val="00623AAF"/>
    <w:rsid w:val="00655FC8"/>
    <w:rsid w:val="008640FB"/>
    <w:rsid w:val="008652C3"/>
    <w:rsid w:val="00914FFB"/>
    <w:rsid w:val="00BF29C1"/>
    <w:rsid w:val="00C04EEF"/>
    <w:rsid w:val="00C11743"/>
    <w:rsid w:val="00C508C4"/>
    <w:rsid w:val="00CC35B6"/>
    <w:rsid w:val="00DD4EFA"/>
    <w:rsid w:val="00E479F1"/>
    <w:rsid w:val="00EE2AB9"/>
    <w:rsid w:val="00F6525C"/>
    <w:rsid w:val="00FB0499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6525C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customStyle="1" w:styleId="ConsPlusNonformat">
    <w:name w:val="ConsPlusNonformat"/>
    <w:rsid w:val="00F6525C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  <w:lang w:eastAsia="ru-RU"/>
    </w:rPr>
  </w:style>
  <w:style w:type="paragraph" w:customStyle="1" w:styleId="ConsPlusTitle">
    <w:name w:val="ConsPlusTitle"/>
    <w:rsid w:val="00F6525C"/>
    <w:pPr>
      <w:widowControl w:val="0"/>
      <w:autoSpaceDE w:val="0"/>
      <w:autoSpaceDN w:val="0"/>
    </w:pPr>
    <w:rPr>
      <w:rFonts w:eastAsiaTheme="minorEastAsia"/>
      <w:b/>
      <w:sz w:val="26"/>
      <w:szCs w:val="22"/>
      <w:lang w:eastAsia="ru-RU"/>
    </w:rPr>
  </w:style>
  <w:style w:type="paragraph" w:customStyle="1" w:styleId="ConsPlusCell">
    <w:name w:val="ConsPlusCell"/>
    <w:rsid w:val="00F6525C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  <w:lang w:eastAsia="ru-RU"/>
    </w:rPr>
  </w:style>
  <w:style w:type="paragraph" w:customStyle="1" w:styleId="ConsPlusDocList">
    <w:name w:val="ConsPlusDocList"/>
    <w:rsid w:val="00F6525C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customStyle="1" w:styleId="ConsPlusTitlePage">
    <w:name w:val="ConsPlusTitlePage"/>
    <w:rsid w:val="00F6525C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  <w:style w:type="paragraph" w:customStyle="1" w:styleId="ConsPlusJurTerm">
    <w:name w:val="ConsPlusJurTerm"/>
    <w:rsid w:val="00F6525C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F6525C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E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EE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6525C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customStyle="1" w:styleId="ConsPlusNonformat">
    <w:name w:val="ConsPlusNonformat"/>
    <w:rsid w:val="00F6525C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  <w:lang w:eastAsia="ru-RU"/>
    </w:rPr>
  </w:style>
  <w:style w:type="paragraph" w:customStyle="1" w:styleId="ConsPlusTitle">
    <w:name w:val="ConsPlusTitle"/>
    <w:rsid w:val="00F6525C"/>
    <w:pPr>
      <w:widowControl w:val="0"/>
      <w:autoSpaceDE w:val="0"/>
      <w:autoSpaceDN w:val="0"/>
    </w:pPr>
    <w:rPr>
      <w:rFonts w:eastAsiaTheme="minorEastAsia"/>
      <w:b/>
      <w:sz w:val="26"/>
      <w:szCs w:val="22"/>
      <w:lang w:eastAsia="ru-RU"/>
    </w:rPr>
  </w:style>
  <w:style w:type="paragraph" w:customStyle="1" w:styleId="ConsPlusCell">
    <w:name w:val="ConsPlusCell"/>
    <w:rsid w:val="00F6525C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  <w:lang w:eastAsia="ru-RU"/>
    </w:rPr>
  </w:style>
  <w:style w:type="paragraph" w:customStyle="1" w:styleId="ConsPlusDocList">
    <w:name w:val="ConsPlusDocList"/>
    <w:rsid w:val="00F6525C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customStyle="1" w:styleId="ConsPlusTitlePage">
    <w:name w:val="ConsPlusTitlePage"/>
    <w:rsid w:val="00F6525C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  <w:style w:type="paragraph" w:customStyle="1" w:styleId="ConsPlusJurTerm">
    <w:name w:val="ConsPlusJurTerm"/>
    <w:rsid w:val="00F6525C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F6525C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E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EE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Широкая ОА</cp:lastModifiedBy>
  <cp:revision>9</cp:revision>
  <cp:lastPrinted>2023-10-19T13:44:00Z</cp:lastPrinted>
  <dcterms:created xsi:type="dcterms:W3CDTF">2023-10-16T08:44:00Z</dcterms:created>
  <dcterms:modified xsi:type="dcterms:W3CDTF">2023-10-20T11:31:00Z</dcterms:modified>
</cp:coreProperties>
</file>