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38" w:rsidRPr="00530C24" w:rsidRDefault="00194638" w:rsidP="00194638">
      <w:pPr>
        <w:pStyle w:val="a8"/>
        <w:ind w:right="-1"/>
        <w:jc w:val="right"/>
        <w:rPr>
          <w:sz w:val="26"/>
          <w:szCs w:val="26"/>
        </w:rPr>
      </w:pPr>
      <w:r w:rsidRPr="00530C24">
        <w:rPr>
          <w:sz w:val="26"/>
          <w:szCs w:val="26"/>
        </w:rPr>
        <w:t xml:space="preserve">Приложение 1 </w:t>
      </w:r>
    </w:p>
    <w:p w:rsidR="00194638" w:rsidRPr="00530C24" w:rsidRDefault="00194638" w:rsidP="00194638">
      <w:pPr>
        <w:pStyle w:val="a8"/>
        <w:ind w:right="-1"/>
        <w:jc w:val="right"/>
        <w:rPr>
          <w:sz w:val="26"/>
          <w:szCs w:val="26"/>
        </w:rPr>
      </w:pPr>
      <w:r w:rsidRPr="00530C24">
        <w:rPr>
          <w:sz w:val="26"/>
          <w:szCs w:val="26"/>
        </w:rPr>
        <w:t xml:space="preserve">к изменениям, вносимым в постановление </w:t>
      </w:r>
    </w:p>
    <w:p w:rsidR="00194638" w:rsidRPr="00530C24" w:rsidRDefault="00194638" w:rsidP="00194638">
      <w:pPr>
        <w:pStyle w:val="a8"/>
        <w:ind w:right="-1"/>
        <w:jc w:val="right"/>
        <w:rPr>
          <w:sz w:val="26"/>
          <w:szCs w:val="26"/>
        </w:rPr>
      </w:pPr>
      <w:r w:rsidRPr="00530C24">
        <w:rPr>
          <w:sz w:val="26"/>
          <w:szCs w:val="26"/>
        </w:rPr>
        <w:t>администрации МР «Печора»</w:t>
      </w:r>
    </w:p>
    <w:p w:rsidR="00194638" w:rsidRPr="00530C24"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30C24">
        <w:rPr>
          <w:rFonts w:ascii="Times New Roman" w:hAnsi="Times New Roman" w:cs="Times New Roman"/>
          <w:sz w:val="26"/>
          <w:szCs w:val="26"/>
        </w:rPr>
        <w:t xml:space="preserve"> от 31.12.2019 г. № 1678</w:t>
      </w:r>
      <w:r w:rsidRPr="00530C24">
        <w:rPr>
          <w:rFonts w:ascii="Times New Roman" w:eastAsia="Batang" w:hAnsi="Times New Roman" w:cs="Times New Roman"/>
          <w:sz w:val="26"/>
          <w:szCs w:val="26"/>
          <w:lang w:eastAsia="ru-RU"/>
        </w:rPr>
        <w:t xml:space="preserve"> </w:t>
      </w:r>
    </w:p>
    <w:p w:rsidR="00194638"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923BAB" w:rsidRPr="00923BAB" w:rsidRDefault="00923BAB"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«Приложение 1</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к муниципальной программе МО МР «Печора»</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«Развитие системы муниципального управления»</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923BAB">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923BAB" w:rsidRPr="00923BAB" w:rsidTr="00FE7F67">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п</w:t>
            </w:r>
            <w:proofErr w:type="gramEnd"/>
            <w:r w:rsidRPr="00923BAB">
              <w:rPr>
                <w:rFonts w:ascii="Times New Roman" w:eastAsiaTheme="minorEastAsia" w:hAnsi="Times New Roman" w:cs="Times New Roman"/>
                <w:sz w:val="20"/>
                <w:szCs w:val="20"/>
                <w:lang w:eastAsia="ru-RU"/>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Связь с показателями муниципальной программы (подпрограммы)</w:t>
            </w:r>
          </w:p>
        </w:tc>
      </w:tr>
      <w:tr w:rsidR="00923BAB" w:rsidRPr="00923BAB" w:rsidTr="00FE7F67">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8</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1 «Управление муниципальными финансами и муниципальным долгом»</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«Создание условий для повышения эффективности управления муниципальными финансами»</w:t>
            </w:r>
          </w:p>
        </w:tc>
      </w:tr>
      <w:tr w:rsidR="00923BAB" w:rsidRPr="00923BAB" w:rsidTr="00FE7F67">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Невозможность формирования программного бюджета,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1.1.2. Мониторинг  </w:t>
            </w:r>
            <w:proofErr w:type="gramStart"/>
            <w:r w:rsidRPr="00923BAB">
              <w:rPr>
                <w:rFonts w:ascii="Times New Roman" w:eastAsiaTheme="minorEastAsia" w:hAnsi="Times New Roman" w:cs="Times New Roman"/>
                <w:sz w:val="20"/>
                <w:szCs w:val="20"/>
                <w:lang w:eastAsia="ru-RU"/>
              </w:rPr>
              <w:t>качества финансового менеджмента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w:t>
            </w:r>
            <w:r w:rsidRPr="00923BAB">
              <w:rPr>
                <w:rFonts w:ascii="Times New Roman" w:eastAsiaTheme="minorEastAsia" w:hAnsi="Times New Roman" w:cs="Times New Roman"/>
                <w:sz w:val="20"/>
                <w:szCs w:val="20"/>
                <w:lang w:eastAsia="ru-RU"/>
              </w:rPr>
              <w:lastRenderedPageBreak/>
              <w:t>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w:t>
            </w:r>
            <w:proofErr w:type="gramStart"/>
            <w:r w:rsidRPr="00923BAB">
              <w:rPr>
                <w:rFonts w:ascii="Times New Roman" w:eastAsiaTheme="minorEastAsia" w:hAnsi="Times New Roman" w:cs="Times New Roman"/>
                <w:sz w:val="20"/>
                <w:szCs w:val="20"/>
                <w:lang w:eastAsia="ru-RU"/>
              </w:rPr>
              <w:t>заинтересованности руководства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  в повышении качества осуществляемого ими </w:t>
            </w:r>
            <w:r w:rsidRPr="00923BAB">
              <w:rPr>
                <w:rFonts w:ascii="Times New Roman" w:eastAsiaTheme="minorEastAsia" w:hAnsi="Times New Roman" w:cs="Times New Roman"/>
                <w:sz w:val="20"/>
                <w:szCs w:val="20"/>
                <w:lang w:eastAsia="ru-RU"/>
              </w:rPr>
              <w:lastRenderedPageBreak/>
              <w:t>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Удельный вес главных распорядителей бюджетных средств МО МР «Печора», охваченных мониторингом качества финансового менеджмента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контроля за 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Сокращение количества нарушений финансовой  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объемов потерь бюджета МО МР «Печора»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Неисполнение обязательств, нарушение </w:t>
            </w:r>
            <w:proofErr w:type="gramStart"/>
            <w:r w:rsidRPr="00923BAB">
              <w:rPr>
                <w:rFonts w:ascii="Times New Roman" w:eastAsiaTheme="minorEastAsia" w:hAnsi="Times New Roman" w:cs="Times New Roman"/>
                <w:sz w:val="20"/>
                <w:szCs w:val="20"/>
                <w:lang w:eastAsia="ru-RU"/>
              </w:rPr>
              <w:t>бюджетного</w:t>
            </w:r>
            <w:proofErr w:type="gramEnd"/>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923BAB" w:rsidRPr="00923BAB" w:rsidTr="00FE7F67">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просроченных платежей по обслуживанию долговых обязательств</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«Обеспечение выполнения и оптимизации расходных обязательств бюджета МО МР «Печора»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Формирование проекта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Подготовка проекта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Проект     решения Совета МР «Печора» о бюджете   МО МР «Печора»  на </w:t>
            </w:r>
            <w:r w:rsidRPr="00923BAB">
              <w:rPr>
                <w:rFonts w:ascii="Times New Roman" w:eastAsiaTheme="minorEastAsia" w:hAnsi="Times New Roman" w:cs="Times New Roman"/>
                <w:sz w:val="20"/>
                <w:szCs w:val="20"/>
                <w:lang w:eastAsia="ru-RU"/>
              </w:rPr>
              <w:lastRenderedPageBreak/>
              <w:t xml:space="preserve">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 xml:space="preserve"> установленные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Соответствие  решения Совета МР «Печора» о бюджете МО МР «Печора»  на очередной финансовый год и плановый </w:t>
            </w:r>
            <w:r w:rsidRPr="00923BAB">
              <w:rPr>
                <w:rFonts w:ascii="Times New Roman" w:eastAsiaTheme="minorEastAsia" w:hAnsi="Times New Roman" w:cs="Times New Roman"/>
                <w:sz w:val="20"/>
                <w:szCs w:val="20"/>
                <w:lang w:eastAsia="ru-RU"/>
              </w:rPr>
              <w:lastRenderedPageBreak/>
              <w:t xml:space="preserve">период требованиям Бюджетного </w:t>
            </w:r>
            <w:hyperlink r:id="rId6" w:history="1">
              <w:r w:rsidRPr="00923BAB">
                <w:rPr>
                  <w:rFonts w:ascii="Times New Roman" w:eastAsiaTheme="minorEastAsia" w:hAnsi="Times New Roman" w:cs="Times New Roman"/>
                  <w:color w:val="0000FF"/>
                  <w:sz w:val="20"/>
                  <w:szCs w:val="20"/>
                  <w:u w:val="single"/>
                  <w:lang w:eastAsia="ru-RU"/>
                </w:rPr>
                <w:t>кодекса</w:t>
              </w:r>
            </w:hyperlink>
            <w:r w:rsidRPr="00923BAB">
              <w:rPr>
                <w:rFonts w:ascii="Times New Roman" w:eastAsiaTheme="minorEastAsia" w:hAnsi="Times New Roman" w:cs="Times New Roman"/>
                <w:sz w:val="20"/>
                <w:szCs w:val="20"/>
                <w:lang w:eastAsia="ru-RU"/>
              </w:rPr>
              <w:t xml:space="preserve"> Российской Федерации.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несвоевременное исполнение расходных обязательств</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Соответствие  исполнения  бюджета МО МР «Печора» бюджетному   законодательству.</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бюджетной отчетности, представленной в установленные Министерством финансов  Республики коми  сроки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w:t>
            </w:r>
            <w:r w:rsidRPr="00923BAB">
              <w:rPr>
                <w:rFonts w:ascii="Times New Roman" w:eastAsiaTheme="minorEastAsia" w:hAnsi="Times New Roman" w:cs="Times New Roman"/>
                <w:sz w:val="20"/>
                <w:szCs w:val="20"/>
                <w:lang w:eastAsia="ru-RU"/>
              </w:rPr>
              <w:lastRenderedPageBreak/>
              <w:t>слушаний, к общему количеству данных решений</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бюджетной 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сроков формирования и 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требований 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Создание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«Обеспечение управления реализацией основных направлений политики в сфере управления муниципальными финансами»</w:t>
            </w:r>
          </w:p>
        </w:tc>
      </w:tr>
      <w:tr w:rsidR="00923BAB" w:rsidRPr="00923BAB" w:rsidTr="00FE7F67">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реализации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законодательства,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w:t>
            </w:r>
            <w:r w:rsidRPr="00923BAB">
              <w:rPr>
                <w:rFonts w:ascii="Times New Roman" w:eastAsiaTheme="minorEastAsia" w:hAnsi="Times New Roman" w:cs="Times New Roman"/>
                <w:sz w:val="20"/>
                <w:szCs w:val="20"/>
                <w:lang w:eastAsia="ru-RU"/>
              </w:rPr>
              <w:lastRenderedPageBreak/>
              <w:t xml:space="preserve">законодательства, риск </w:t>
            </w:r>
            <w:proofErr w:type="spellStart"/>
            <w:r w:rsidRPr="00923BAB">
              <w:rPr>
                <w:rFonts w:ascii="Times New Roman" w:eastAsiaTheme="minorEastAsia" w:hAnsi="Times New Roman" w:cs="Times New Roman"/>
                <w:sz w:val="20"/>
                <w:szCs w:val="20"/>
                <w:lang w:eastAsia="ru-RU"/>
              </w:rPr>
              <w:t>недостижения</w:t>
            </w:r>
            <w:proofErr w:type="spellEnd"/>
            <w:r w:rsidRPr="00923BAB">
              <w:rPr>
                <w:rFonts w:ascii="Times New Roman" w:eastAsiaTheme="minorEastAsia" w:hAnsi="Times New Roman" w:cs="Times New Roman"/>
                <w:sz w:val="20"/>
                <w:szCs w:val="20"/>
                <w:lang w:eastAsia="ru-RU"/>
              </w:rPr>
              <w:t xml:space="preserve">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2 «Управление муниципальным имуществом»</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системы учета муниципального имущества, оптимизация его состава и структуры»</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Признание прав, регулирование отношений по имуществу для муниципальных нужд и оптимизация состава (структуры)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Удельный вес  объектов недвижимости (в </w:t>
            </w:r>
            <w:proofErr w:type="spellStart"/>
            <w:r w:rsidRPr="00923BAB">
              <w:rPr>
                <w:rFonts w:ascii="Times New Roman" w:eastAsiaTheme="minorEastAsia" w:hAnsi="Times New Roman" w:cs="Times New Roman"/>
                <w:sz w:val="20"/>
                <w:szCs w:val="20"/>
                <w:lang w:eastAsia="ru-RU"/>
              </w:rPr>
              <w:t>т.ч</w:t>
            </w:r>
            <w:proofErr w:type="spellEnd"/>
            <w:r w:rsidRPr="00923BAB">
              <w:rPr>
                <w:rFonts w:ascii="Times New Roman" w:eastAsiaTheme="minorEastAsia" w:hAnsi="Times New Roman" w:cs="Times New Roman"/>
                <w:sz w:val="20"/>
                <w:szCs w:val="20"/>
                <w:lang w:eastAsia="ru-RU"/>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стоимости имущества,  </w:t>
            </w:r>
            <w:r w:rsidRPr="00923BAB">
              <w:rPr>
                <w:rFonts w:ascii="Times New Roman" w:eastAsiaTheme="minorEastAsia" w:hAnsi="Times New Roman" w:cs="Times New Roman"/>
                <w:sz w:val="20"/>
                <w:szCs w:val="20"/>
                <w:lang w:eastAsia="ru-RU"/>
              </w:rPr>
              <w:lastRenderedPageBreak/>
              <w:t>приобретенного в муниципальную собственность МР «Печора»,  нарастающим итогом начиная с 01.01.01.01.2020, к общей балансовой стоимости имущества МО МР «Печора» на начало отчетного года</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«Обеспечение эффективности использования  и распоряжения  муниципальным имуществом»</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хозяйственной деятельности предприятий Усиление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r>
      <w:tr w:rsidR="00923BAB" w:rsidRPr="00923BAB" w:rsidTr="00FE7F67">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2.2.2.</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Улучшение показателей финансовой хозяйственной деятельности предприятий Усиление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возможность участия в реализации приоритетных программ Ухудшение состояния имущества;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923BAB">
              <w:rPr>
                <w:rFonts w:ascii="Times New Roman" w:eastAsiaTheme="minorEastAsia" w:hAnsi="Times New Roman" w:cs="Times New Roman"/>
                <w:sz w:val="20"/>
                <w:szCs w:val="20"/>
                <w:lang w:eastAsia="ru-RU"/>
              </w:rPr>
              <w:t>МУПов</w:t>
            </w:r>
            <w:proofErr w:type="spellEnd"/>
            <w:r w:rsidRPr="00923BAB">
              <w:rPr>
                <w:rFonts w:ascii="Times New Roman" w:eastAsiaTheme="minorEastAsia" w:hAnsi="Times New Roman" w:cs="Times New Roman"/>
                <w:sz w:val="20"/>
                <w:szCs w:val="20"/>
                <w:lang w:eastAsia="ru-RU"/>
              </w:rPr>
              <w:t xml:space="preserve"> и долей МО МР «Печора» организаций, деятельность которых признана неэффективной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реализации подпрограммы»</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Комитет по </w:t>
            </w:r>
            <w:r w:rsidRPr="00923BAB">
              <w:rPr>
                <w:rFonts w:ascii="Times New Roman" w:eastAsiaTheme="minorEastAsia" w:hAnsi="Times New Roman" w:cs="Times New Roman"/>
                <w:sz w:val="20"/>
                <w:szCs w:val="20"/>
                <w:lang w:eastAsia="ru-RU"/>
              </w:rPr>
              <w:lastRenderedPageBreak/>
              <w:t>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Перечисление налоговых </w:t>
            </w:r>
            <w:r w:rsidRPr="00923BAB">
              <w:rPr>
                <w:rFonts w:ascii="Times New Roman" w:eastAsiaTheme="minorEastAsia" w:hAnsi="Times New Roman" w:cs="Times New Roman"/>
                <w:sz w:val="20"/>
                <w:szCs w:val="20"/>
                <w:lang w:eastAsia="ru-RU"/>
              </w:rPr>
              <w:lastRenderedPageBreak/>
              <w:t>и неналоговых платежей в 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Несвоевременное и </w:t>
            </w:r>
            <w:r w:rsidRPr="00923BAB">
              <w:rPr>
                <w:rFonts w:ascii="Times New Roman" w:eastAsiaTheme="minorEastAsia" w:hAnsi="Times New Roman" w:cs="Times New Roman"/>
                <w:sz w:val="20"/>
                <w:szCs w:val="20"/>
                <w:lang w:eastAsia="ru-RU"/>
              </w:rPr>
              <w:lastRenderedPageBreak/>
              <w:t>неполное 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Уровень ежегодного достижения </w:t>
            </w:r>
            <w:r w:rsidRPr="00923BAB">
              <w:rPr>
                <w:rFonts w:ascii="Times New Roman" w:eastAsiaTheme="minorEastAsia" w:hAnsi="Times New Roman" w:cs="Times New Roman"/>
                <w:sz w:val="20"/>
                <w:szCs w:val="20"/>
                <w:lang w:eastAsia="ru-RU"/>
              </w:rPr>
              <w:lastRenderedPageBreak/>
              <w:t>показателей (индикаторов) подпрограммы</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3 «Муниципальное управление»</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процедур подбора квалифицированных кадров для органов МСУ»</w:t>
            </w:r>
          </w:p>
        </w:tc>
      </w:tr>
      <w:tr w:rsidR="00923BAB" w:rsidRPr="00923BAB" w:rsidTr="00FE7F6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по результатам конкурсных процедур.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граждан, при оценке профессиональных знаний и навыков, личностных качеств которых применялись современные методы оценки.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доли специалистов, </w:t>
            </w:r>
            <w:r w:rsidRPr="00923BAB">
              <w:rPr>
                <w:rFonts w:ascii="Times New Roman" w:eastAsiaTheme="minorEastAsia" w:hAnsi="Times New Roman" w:cs="Times New Roman"/>
                <w:sz w:val="20"/>
                <w:szCs w:val="20"/>
                <w:lang w:eastAsia="ru-RU"/>
              </w:rPr>
              <w:lastRenderedPageBreak/>
              <w:t>назначенных на должности из муниципального кадрового резерва.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в структуре работников органов МСУ  доли специалистов в возрасте до 30 лет.</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Практически полное отсутствие в органах МСУ конкурсных процедур.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Неэффективность использования кадрового резерва.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системного подхода к организации привлечения перспективных молодых специалистов в </w:t>
            </w:r>
            <w:r w:rsidRPr="00923BAB">
              <w:rPr>
                <w:rFonts w:ascii="Times New Roman" w:eastAsiaTheme="minorEastAsia" w:hAnsi="Times New Roman" w:cs="Times New Roman"/>
                <w:sz w:val="20"/>
                <w:szCs w:val="20"/>
                <w:lang w:eastAsia="ru-RU"/>
              </w:rPr>
              <w:lastRenderedPageBreak/>
              <w:t>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вакантных должностей муниципальной службы, замещенных по результатам конкурса, от общего числа замещенных должностей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должностей муниципальной </w:t>
            </w:r>
            <w:r w:rsidRPr="00923BAB">
              <w:rPr>
                <w:rFonts w:ascii="Times New Roman" w:eastAsiaTheme="minorEastAsia" w:hAnsi="Times New Roman" w:cs="Times New Roman"/>
                <w:sz w:val="20"/>
                <w:szCs w:val="20"/>
                <w:lang w:eastAsia="ru-RU"/>
              </w:rPr>
              <w:lastRenderedPageBreak/>
              <w:t>службы, замещенных лицами в возрасте до 30 лет, в общем количестве замещенных должностей муниципальной службы;</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923BAB" w:rsidRPr="00923BAB" w:rsidTr="00FE7F6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01.03.2021</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31.12.2021</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Системный подход к организации привлечения перспективных молодых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современных технологий обучения специалистов органов МСУ»</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прошедших программы профессиональной переподготовки и повышения квалификации.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Направление специалистов на обучение в зависимости от конкретных потребностей.</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Сокращение временных и финансовых ресурсов при адаптации вновь принятых специалистов.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Недостаточный уровень профессионального образования специалистов.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системной работы, ориентированной на индивидуальный подход к обучению, исходя из </w:t>
            </w:r>
            <w:r w:rsidRPr="00923BAB">
              <w:rPr>
                <w:rFonts w:ascii="Times New Roman" w:eastAsiaTheme="minorEastAsia" w:hAnsi="Times New Roman" w:cs="Times New Roman"/>
                <w:sz w:val="20"/>
                <w:szCs w:val="20"/>
                <w:lang w:eastAsia="ru-RU"/>
              </w:rPr>
              <w:lastRenderedPageBreak/>
              <w:t>потребностей 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специалистов, прошедших обучение с применением  </w:t>
            </w:r>
            <w:r w:rsidRPr="00923BAB">
              <w:rPr>
                <w:rFonts w:ascii="Times New Roman" w:eastAsiaTheme="minorEastAsia" w:hAnsi="Times New Roman" w:cs="Times New Roman"/>
                <w:sz w:val="20"/>
                <w:szCs w:val="20"/>
                <w:lang w:eastAsia="ru-RU"/>
              </w:rPr>
              <w:lastRenderedPageBreak/>
              <w:t>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«Повышение эффективности оценки профессиональной служебной деятельности муниципальных служащих органов МСУ»</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эффективности оценки профессиональной служебной деятельности специалистов органов</w:t>
            </w:r>
            <w:proofErr w:type="gramEnd"/>
            <w:r w:rsidRPr="00923BAB">
              <w:rPr>
                <w:rFonts w:ascii="Times New Roman" w:eastAsiaTheme="minorEastAsia" w:hAnsi="Times New Roman" w:cs="Times New Roman"/>
                <w:sz w:val="20"/>
                <w:szCs w:val="20"/>
                <w:lang w:eastAsia="ru-RU"/>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представляющих отчеты о профессиональной служебной деятельности.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эффективности и результативности профессиональной служебной деятельности.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Полный охват аттестацией лиц, подлежащих аттестации.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органов МСУ, при оценке которых применялись современные методы.</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 xml:space="preserve">Задача 4 «Совершенствование организационных и правовых механизмов профессиональной и служебной деятельности муниципальных </w:t>
            </w:r>
            <w:r w:rsidRPr="00923BAB">
              <w:rPr>
                <w:rFonts w:ascii="Times New Roman" w:eastAsiaTheme="minorEastAsia" w:hAnsi="Times New Roman" w:cs="Times New Roman"/>
                <w:b/>
                <w:sz w:val="24"/>
                <w:szCs w:val="24"/>
                <w:lang w:eastAsia="ru-RU"/>
              </w:rPr>
              <w:lastRenderedPageBreak/>
              <w:t>служащих»</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3.6.1.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23BAB">
              <w:rPr>
                <w:rFonts w:ascii="Times New Roman" w:eastAsiaTheme="minorEastAsia" w:hAnsi="Times New Roman" w:cs="Times New Roman"/>
                <w:sz w:val="20"/>
                <w:szCs w:val="20"/>
                <w:lang w:eastAsia="ru-RU"/>
              </w:rPr>
              <w:br/>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5  «Создание условий для реализации подпрограммы»</w:t>
            </w:r>
          </w:p>
        </w:tc>
      </w:tr>
      <w:tr w:rsidR="00923BAB" w:rsidRPr="00923BAB" w:rsidTr="00FE7F67">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3.7.2.                                                                                Обеспечение деятельности (оказание услуг) подведомственных казенных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3.7.3.                                                                              Осуществление </w:t>
            </w:r>
            <w:r w:rsidRPr="00923BAB">
              <w:rPr>
                <w:rFonts w:ascii="Times New Roman" w:eastAsiaTheme="minorEastAsia" w:hAnsi="Times New Roman" w:cs="Times New Roman"/>
                <w:sz w:val="20"/>
                <w:szCs w:val="20"/>
                <w:lang w:eastAsia="ru-RU"/>
              </w:rPr>
              <w:lastRenderedPageBreak/>
              <w:t>государственных полномочий Республики Коми, предусмотренных пунктом 6 статьи 1, статьями 2, 2 (1)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Бюджетно-финансовый отдел </w:t>
            </w:r>
            <w:r w:rsidRPr="00923BAB">
              <w:rPr>
                <w:rFonts w:ascii="Times New Roman" w:eastAsiaTheme="minorEastAsia" w:hAnsi="Times New Roman" w:cs="Times New Roman"/>
                <w:sz w:val="20"/>
                <w:szCs w:val="20"/>
                <w:lang w:eastAsia="ru-RU"/>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3.7.4.                                                                                     Осуществление государственных полномочий Республики Коми, предусмотренных пунктами 9-10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3.7.5.                                                                               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w:t>
            </w:r>
            <w:r w:rsidRPr="00923BAB">
              <w:rPr>
                <w:rFonts w:ascii="Times New Roman" w:eastAsiaTheme="minorEastAsia" w:hAnsi="Times New Roman" w:cs="Times New Roman"/>
                <w:sz w:val="20"/>
                <w:szCs w:val="20"/>
                <w:lang w:eastAsia="ru-RU"/>
              </w:rPr>
              <w:lastRenderedPageBreak/>
              <w:t>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3.7.7. </w:t>
            </w:r>
            <w:proofErr w:type="gramStart"/>
            <w:r w:rsidRPr="00923BAB">
              <w:rPr>
                <w:rFonts w:ascii="Times New Roman" w:eastAsiaTheme="minorEastAsia" w:hAnsi="Times New Roman" w:cs="Times New Roman"/>
                <w:sz w:val="20"/>
                <w:szCs w:val="20"/>
                <w:lang w:eastAsia="ru-RU"/>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w:t>
            </w:r>
            <w:r w:rsidRPr="00923BAB">
              <w:rPr>
                <w:rFonts w:ascii="Times New Roman" w:eastAsiaTheme="minorEastAsia" w:hAnsi="Times New Roman" w:cs="Times New Roman"/>
                <w:sz w:val="20"/>
                <w:szCs w:val="20"/>
                <w:lang w:eastAsia="ru-RU"/>
              </w:rPr>
              <w:lastRenderedPageBreak/>
              <w:t>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923BAB">
              <w:rPr>
                <w:rFonts w:ascii="Times New Roman" w:eastAsiaTheme="minorEastAsia" w:hAnsi="Times New Roman" w:cs="Times New Roman"/>
                <w:sz w:val="20"/>
                <w:szCs w:val="20"/>
                <w:lang w:eastAsia="ru-RU"/>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3.7.8. Осуществление государственного полномочия Республики Коми по </w:t>
            </w:r>
            <w:r w:rsidRPr="00923BAB">
              <w:rPr>
                <w:rFonts w:ascii="Times New Roman" w:eastAsiaTheme="minorEastAsia" w:hAnsi="Times New Roman" w:cs="Times New Roman"/>
                <w:sz w:val="20"/>
                <w:szCs w:val="20"/>
                <w:lang w:eastAsia="ru-RU"/>
              </w:rPr>
              <w:lastRenderedPageBreak/>
              <w:t>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3.7.9.</w:t>
            </w:r>
            <w:r w:rsidRPr="00923BAB">
              <w:rPr>
                <w:rFonts w:ascii="Times New Roman" w:eastAsiaTheme="minorEastAsia" w:hAnsi="Times New Roman" w:cs="Times New Roman"/>
                <w:sz w:val="20"/>
                <w:szCs w:val="20"/>
                <w:lang w:eastAsia="ru-RU"/>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6 «Обеспечение опубликования  информации, имеющей общественную значимость»</w:t>
            </w:r>
          </w:p>
        </w:tc>
      </w:tr>
      <w:tr w:rsidR="00923BAB" w:rsidRPr="00923BAB" w:rsidTr="00FE7F6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информационно-аналитической работы и общественных связей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p>
        </w:tc>
      </w:tr>
      <w:tr w:rsidR="00923BAB" w:rsidRPr="00923BAB" w:rsidTr="00FE7F6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выполнения задач подпрограмм и достижение предусмотренных программами (подпрограммами) </w:t>
            </w:r>
            <w:r w:rsidRPr="00923BAB">
              <w:rPr>
                <w:rFonts w:ascii="Times New Roman" w:eastAsiaTheme="minorEastAsia" w:hAnsi="Times New Roman" w:cs="Times New Roman"/>
                <w:sz w:val="20"/>
                <w:szCs w:val="20"/>
                <w:lang w:eastAsia="ru-RU"/>
              </w:rPr>
              <w:lastRenderedPageBreak/>
              <w:t>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Невозможность реализации программ (подпрограмм)  в полном объеме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lastRenderedPageBreak/>
              <w:t>Доля оказанных услуг в рамках осуществления издательской деятельности в установленные сроки, от общего количества</w:t>
            </w:r>
            <w:r w:rsidRPr="00923BAB">
              <w:rPr>
                <w:rFonts w:ascii="Times New Roman" w:eastAsiaTheme="minorEastAsia" w:hAnsi="Times New Roman" w:cs="Times New Roman"/>
                <w:sz w:val="20"/>
                <w:szCs w:val="20"/>
                <w:lang w:eastAsia="ru-RU"/>
              </w:rPr>
              <w:t xml:space="preserve"> </w:t>
            </w: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4   «Электронный муниципалитет»</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Освещение в СМИ деятельности муниципалитета и повышение  доверия граждан к действиям органов местного самоуправления.</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среднего числа обращений представителей </w:t>
            </w:r>
            <w:proofErr w:type="gramStart"/>
            <w:r w:rsidRPr="00923BAB">
              <w:rPr>
                <w:rFonts w:ascii="Times New Roman" w:eastAsiaTheme="minorEastAsia" w:hAnsi="Times New Roman" w:cs="Times New Roman"/>
                <w:sz w:val="20"/>
                <w:szCs w:val="20"/>
                <w:lang w:eastAsia="ru-RU"/>
              </w:rPr>
              <w:t>бизнес-сообщества</w:t>
            </w:r>
            <w:proofErr w:type="gramEnd"/>
            <w:r w:rsidRPr="00923BAB">
              <w:rPr>
                <w:rFonts w:ascii="Times New Roman" w:eastAsiaTheme="minorEastAsia"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Pr>
                <w:rFonts w:ascii="Times New Roman" w:eastAsiaTheme="minorEastAsia" w:hAnsi="Times New Roman" w:cs="Times New Roman"/>
                <w:sz w:val="20"/>
                <w:szCs w:val="20"/>
                <w:lang w:eastAsia="ru-RU"/>
              </w:rPr>
              <w:t>31.12.2030</w:t>
            </w:r>
            <w:r w:rsidRPr="00923BAB">
              <w:rPr>
                <w:rFonts w:ascii="Times New Roman" w:eastAsiaTheme="minorEastAsia" w:hAnsi="Times New Roman" w:cs="Times New Roman"/>
                <w:sz w:val="20"/>
                <w:szCs w:val="20"/>
                <w:lang w:eastAsia="ru-RU"/>
              </w:rPr>
              <w:t xml:space="preserve"> году среднее число обращений должно снизиться до 2)</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электронных обращений населения в органы местного самоуправления (ед.);</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Развитие и поддержка актуального состояния портала администрации МО  и сайтов муниципальных учреждений (8-ФЗ, 83-ФЗ и пр.).</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w:t>
            </w:r>
            <w:r w:rsidRPr="00923BAB">
              <w:rPr>
                <w:rFonts w:ascii="Times New Roman" w:eastAsiaTheme="minorEastAsia" w:hAnsi="Times New Roman" w:cs="Times New Roman"/>
                <w:sz w:val="20"/>
                <w:szCs w:val="20"/>
                <w:lang w:eastAsia="ru-RU"/>
              </w:rPr>
              <w:lastRenderedPageBreak/>
              <w:t>подразделений 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просмотренных страниц на официальном портале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Отсутствие актуальной</w:t>
            </w:r>
            <w:r w:rsidRPr="00923BAB">
              <w:rPr>
                <w:rFonts w:ascii="Times New Roman" w:eastAsiaTheme="minorEastAsia" w:hAnsi="Times New Roman" w:cs="Times New Roman"/>
                <w:sz w:val="20"/>
                <w:szCs w:val="20"/>
                <w:lang w:eastAsia="ru-RU"/>
              </w:rPr>
              <w:br/>
              <w:t xml:space="preserve">информации о         </w:t>
            </w:r>
            <w:r w:rsidRPr="00923BAB">
              <w:rPr>
                <w:rFonts w:ascii="Times New Roman" w:eastAsiaTheme="minorEastAsia" w:hAnsi="Times New Roman" w:cs="Times New Roman"/>
                <w:sz w:val="20"/>
                <w:szCs w:val="20"/>
                <w:lang w:eastAsia="ru-RU"/>
              </w:rPr>
              <w:br/>
              <w:t xml:space="preserve">деятельности         </w:t>
            </w:r>
            <w:r w:rsidRPr="00923BAB">
              <w:rPr>
                <w:rFonts w:ascii="Times New Roman" w:eastAsiaTheme="minorEastAsia" w:hAnsi="Times New Roman" w:cs="Times New Roman"/>
                <w:sz w:val="20"/>
                <w:szCs w:val="20"/>
                <w:lang w:eastAsia="ru-RU"/>
              </w:rPr>
              <w:br/>
              <w:t>администрации,</w:t>
            </w:r>
            <w:r w:rsidRPr="00923BAB">
              <w:rPr>
                <w:rFonts w:ascii="Times New Roman" w:eastAsiaTheme="minorEastAsia" w:hAnsi="Times New Roman" w:cs="Times New Roman"/>
                <w:sz w:val="20"/>
                <w:szCs w:val="20"/>
                <w:lang w:eastAsia="ru-RU"/>
              </w:rPr>
              <w:br/>
              <w:t xml:space="preserve">неисполнение         </w:t>
            </w:r>
            <w:r w:rsidRPr="00923BAB">
              <w:rPr>
                <w:rFonts w:ascii="Times New Roman" w:eastAsiaTheme="minorEastAsia" w:hAnsi="Times New Roman" w:cs="Times New Roman"/>
                <w:sz w:val="20"/>
                <w:szCs w:val="20"/>
                <w:lang w:eastAsia="ru-RU"/>
              </w:rPr>
              <w:br/>
            </w:r>
            <w:proofErr w:type="gramStart"/>
            <w:r w:rsidRPr="00923BAB">
              <w:rPr>
                <w:rFonts w:ascii="Times New Roman" w:eastAsiaTheme="minorEastAsia" w:hAnsi="Times New Roman" w:cs="Times New Roman"/>
                <w:sz w:val="20"/>
                <w:szCs w:val="20"/>
                <w:lang w:eastAsia="ru-RU"/>
              </w:rPr>
              <w:t>федерального</w:t>
            </w:r>
            <w:proofErr w:type="gramEnd"/>
            <w:r w:rsidRPr="00923BAB">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br/>
              <w:t>законодательств.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доступа к информации </w:t>
            </w:r>
            <w:r w:rsidRPr="00923BAB">
              <w:rPr>
                <w:rFonts w:ascii="Times New Roman" w:eastAsiaTheme="minorEastAsia" w:hAnsi="Times New Roman" w:cs="Times New Roman"/>
                <w:sz w:val="20"/>
                <w:szCs w:val="20"/>
                <w:lang w:eastAsia="ru-RU"/>
              </w:rPr>
              <w:lastRenderedPageBreak/>
              <w:t>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Замедления, сбои и зависания в работе портала и сайтов.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Количество уникальных пользователей, посетивших портал администрации МО (ед.)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«Внедрение государственных и муниципальных информационных систем»</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оперативности доступа к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FE7F67">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Сопровождение и </w:t>
            </w:r>
            <w:r w:rsidRPr="00923BAB">
              <w:rPr>
                <w:rFonts w:ascii="Times New Roman" w:eastAsiaTheme="minorEastAsia" w:hAnsi="Times New Roman" w:cs="Times New Roman"/>
                <w:sz w:val="20"/>
                <w:szCs w:val="20"/>
                <w:lang w:eastAsia="ru-RU"/>
              </w:rPr>
              <w:lastRenderedPageBreak/>
              <w:t>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w:t>
            </w:r>
            <w:r w:rsidRPr="00923BAB">
              <w:rPr>
                <w:rFonts w:ascii="Times New Roman" w:eastAsiaTheme="minorEastAsia" w:hAnsi="Times New Roman" w:cs="Times New Roman"/>
                <w:sz w:val="20"/>
                <w:szCs w:val="20"/>
                <w:lang w:eastAsia="ru-RU"/>
              </w:rPr>
              <w:lastRenderedPageBreak/>
              <w:t>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быстродействия и </w:t>
            </w:r>
            <w:r w:rsidRPr="00923BAB">
              <w:rPr>
                <w:rFonts w:ascii="Times New Roman" w:eastAsiaTheme="minorEastAsia" w:hAnsi="Times New Roman" w:cs="Times New Roman"/>
                <w:sz w:val="20"/>
                <w:szCs w:val="20"/>
                <w:lang w:eastAsia="ru-RU"/>
              </w:rPr>
              <w:lastRenderedPageBreak/>
              <w:t>производительности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эффективности </w:t>
            </w:r>
            <w:r w:rsidRPr="00923BAB">
              <w:rPr>
                <w:rFonts w:ascii="Times New Roman" w:eastAsiaTheme="minorEastAsia" w:hAnsi="Times New Roman" w:cs="Times New Roman"/>
                <w:sz w:val="20"/>
                <w:szCs w:val="20"/>
                <w:lang w:eastAsia="ru-RU"/>
              </w:rPr>
              <w:lastRenderedPageBreak/>
              <w:t>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Ухудшение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получения муниципальных 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w:t>
            </w:r>
            <w:r w:rsidRPr="00923BAB">
              <w:rPr>
                <w:rFonts w:ascii="Times New Roman" w:eastAsiaTheme="minorEastAsia" w:hAnsi="Times New Roman" w:cs="Times New Roman"/>
                <w:sz w:val="20"/>
                <w:szCs w:val="20"/>
                <w:lang w:eastAsia="ru-RU"/>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количества и повышение качества предоставляемых 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для граждан получения 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923BAB">
              <w:rPr>
                <w:rFonts w:ascii="Times New Roman" w:eastAsiaTheme="minorEastAsia" w:hAnsi="Times New Roman" w:cs="Times New Roman"/>
                <w:sz w:val="20"/>
                <w:szCs w:val="20"/>
                <w:lang w:eastAsia="ru-RU"/>
              </w:rPr>
              <w:t xml:space="preserve"> (%)</w:t>
            </w:r>
            <w:proofErr w:type="gramEnd"/>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и сопровождение 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w:t>
            </w:r>
            <w:r w:rsidRPr="00923BAB">
              <w:rPr>
                <w:rFonts w:ascii="Times New Roman" w:eastAsiaTheme="minorEastAsia" w:hAnsi="Times New Roman" w:cs="Times New Roman"/>
                <w:sz w:val="20"/>
                <w:szCs w:val="20"/>
                <w:lang w:eastAsia="ru-RU"/>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4.4.4.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Построение и модернизация локальных вычислительных сетей в  муниципальных учреждениях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Объединение компьютеров в </w:t>
            </w:r>
            <w:proofErr w:type="gramStart"/>
            <w:r w:rsidRPr="00923BAB">
              <w:rPr>
                <w:rFonts w:ascii="Times New Roman" w:eastAsiaTheme="minorEastAsia" w:hAnsi="Times New Roman" w:cs="Times New Roman"/>
                <w:sz w:val="20"/>
                <w:szCs w:val="20"/>
                <w:lang w:eastAsia="ru-RU"/>
              </w:rPr>
              <w:t>единую</w:t>
            </w:r>
            <w:proofErr w:type="gramEnd"/>
            <w:r w:rsidRPr="00923BAB">
              <w:rPr>
                <w:rFonts w:ascii="Times New Roman" w:eastAsiaTheme="minorEastAsia" w:hAnsi="Times New Roman" w:cs="Times New Roman"/>
                <w:sz w:val="20"/>
                <w:szCs w:val="20"/>
                <w:lang w:eastAsia="ru-RU"/>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Уменьшение производительности быстродействия работы автоматизированных информационных систем.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устаревшей техники.</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5 «Обеспечение информационной безопасности и лицензионной чистоты в используемых информационных системах»</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информационных систем  администрации, блокировка работы ПК</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компьютерных сетей и серверов, уничтожение или кража информации. Угроза информационной безопасности 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p w:rsidR="00923BAB" w:rsidRPr="00923BAB" w:rsidRDefault="00923BAB" w:rsidP="00923BAB">
            <w:pPr>
              <w:spacing w:after="0"/>
              <w:rPr>
                <w:rFonts w:ascii="Times New Roman" w:eastAsiaTheme="minorEastAsia" w:hAnsi="Times New Roman" w:cs="Times New Roman"/>
                <w:sz w:val="20"/>
                <w:szCs w:val="20"/>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вредоносных элементов при просмотре </w:t>
            </w:r>
            <w:proofErr w:type="spellStart"/>
            <w:r w:rsidRPr="00923BAB">
              <w:rPr>
                <w:rFonts w:ascii="Times New Roman" w:eastAsiaTheme="minorEastAsia" w:hAnsi="Times New Roman" w:cs="Times New Roman"/>
                <w:sz w:val="20"/>
                <w:szCs w:val="20"/>
                <w:lang w:eastAsia="ru-RU"/>
              </w:rPr>
              <w:t>web</w:t>
            </w:r>
            <w:proofErr w:type="spellEnd"/>
            <w:r w:rsidRPr="00923BAB">
              <w:rPr>
                <w:rFonts w:ascii="Times New Roman" w:eastAsiaTheme="minorEastAsia" w:hAnsi="Times New Roman" w:cs="Times New Roman"/>
                <w:sz w:val="20"/>
                <w:szCs w:val="20"/>
                <w:lang w:eastAsia="ru-RU"/>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w:t>
            </w:r>
            <w:r w:rsidRPr="00923BAB">
              <w:rPr>
                <w:rFonts w:ascii="Times New Roman" w:eastAsiaTheme="minorEastAsia" w:hAnsi="Times New Roman" w:cs="Times New Roman"/>
                <w:sz w:val="20"/>
                <w:szCs w:val="20"/>
                <w:lang w:eastAsia="ru-RU"/>
              </w:rPr>
              <w:lastRenderedPageBreak/>
              <w:t>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угроз </w:t>
            </w:r>
            <w:r w:rsidRPr="00923BAB">
              <w:rPr>
                <w:rFonts w:ascii="Times New Roman" w:eastAsiaTheme="minorEastAsia" w:hAnsi="Times New Roman" w:cs="Times New Roman"/>
                <w:sz w:val="20"/>
                <w:szCs w:val="20"/>
                <w:lang w:eastAsia="ru-RU"/>
              </w:rPr>
              <w:lastRenderedPageBreak/>
              <w:t>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Порча, кража или </w:t>
            </w:r>
            <w:r w:rsidRPr="00923BAB">
              <w:rPr>
                <w:rFonts w:ascii="Times New Roman" w:eastAsiaTheme="minorEastAsia" w:hAnsi="Times New Roman" w:cs="Times New Roman"/>
                <w:sz w:val="20"/>
                <w:szCs w:val="20"/>
                <w:lang w:eastAsia="ru-RU"/>
              </w:rPr>
              <w:lastRenderedPageBreak/>
              <w:t>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максимальной безопасности КСПД</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Распространение вирусов по компьютерным сетям структурных 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Поддержание работоспособности инфраструктуры связи, </w:t>
            </w:r>
            <w:r w:rsidRPr="00923BAB">
              <w:rPr>
                <w:rFonts w:ascii="Times New Roman" w:eastAsiaTheme="minorEastAsia" w:hAnsi="Times New Roman" w:cs="Times New Roman"/>
                <w:sz w:val="20"/>
                <w:szCs w:val="20"/>
                <w:lang w:eastAsia="ru-RU"/>
              </w:rPr>
              <w:lastRenderedPageBreak/>
              <w:t>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w:t>
            </w:r>
            <w:r w:rsidRPr="00923BAB">
              <w:rPr>
                <w:rFonts w:ascii="Times New Roman" w:eastAsiaTheme="minorEastAsia" w:hAnsi="Times New Roman" w:cs="Times New Roman"/>
                <w:sz w:val="20"/>
                <w:szCs w:val="20"/>
                <w:lang w:eastAsia="ru-RU"/>
              </w:rPr>
              <w:lastRenderedPageBreak/>
              <w:t>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связью удаленных населенных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highlight w:val="yellow"/>
                <w:lang w:eastAsia="ru-RU"/>
              </w:rPr>
            </w:pPr>
            <w:r w:rsidRPr="00923BAB">
              <w:rPr>
                <w:rFonts w:ascii="Times New Roman" w:eastAsiaTheme="minorEastAsia" w:hAnsi="Times New Roman" w:cs="Times New Roman"/>
                <w:sz w:val="20"/>
                <w:szCs w:val="20"/>
                <w:lang w:eastAsia="ru-RU"/>
              </w:rPr>
              <w:t xml:space="preserve">Доля населенных пунктов, в которых обеспечена работоспособность </w:t>
            </w:r>
            <w:r w:rsidRPr="00923BAB">
              <w:rPr>
                <w:rFonts w:ascii="Times New Roman" w:eastAsiaTheme="minorEastAsia" w:hAnsi="Times New Roman" w:cs="Times New Roman"/>
                <w:sz w:val="20"/>
                <w:szCs w:val="20"/>
                <w:lang w:eastAsia="ru-RU"/>
              </w:rPr>
              <w:lastRenderedPageBreak/>
              <w:t>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5 «Противодействие коррупции»</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 xml:space="preserve">Задача 1 </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культуры граждан, формирование в общественном сознании устойчивых моделей законопослушного 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обучение,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w:t>
            </w:r>
            <w:r w:rsidRPr="00923BAB">
              <w:rPr>
                <w:rFonts w:ascii="Times New Roman" w:eastAsiaTheme="minorEastAsia" w:hAnsi="Times New Roman" w:cs="Times New Roman"/>
                <w:sz w:val="20"/>
                <w:szCs w:val="20"/>
                <w:lang w:eastAsia="ru-RU"/>
              </w:rPr>
              <w:lastRenderedPageBreak/>
              <w:t>тренингами по вопросам противодействия коррупции, соблюдения запретов, ограничений, требований к служебному повелению</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923BAB" w:rsidRPr="00923BAB" w:rsidTr="00FE7F67">
        <w:trPr>
          <w:trHeight w:val="1365"/>
          <w:tblCellSpacing w:w="5" w:type="nil"/>
        </w:trPr>
        <w:tc>
          <w:tcPr>
            <w:tcW w:w="717" w:type="dxa"/>
            <w:tcBorders>
              <w:top w:val="single" w:sz="4" w:space="0" w:color="auto"/>
              <w:left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5.1.2.</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Пропаганда антикоррупционного поведения, формирование нетерпимого отношения к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профессионального уровня муниципальных служащих в вопросах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1365"/>
          <w:tblCellSpacing w:w="5" w:type="nil"/>
        </w:trPr>
        <w:tc>
          <w:tcPr>
            <w:tcW w:w="717" w:type="dxa"/>
            <w:tcBorders>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функционирования в МО МР «Печора» «телефона доверия», позволяющего гражданам </w:t>
            </w:r>
            <w:r w:rsidRPr="00923BAB">
              <w:rPr>
                <w:rFonts w:ascii="Times New Roman" w:eastAsiaTheme="minorEastAsia" w:hAnsi="Times New Roman" w:cs="Times New Roman"/>
                <w:sz w:val="20"/>
                <w:szCs w:val="20"/>
                <w:lang w:eastAsia="ru-RU"/>
              </w:rPr>
              <w:lastRenderedPageBreak/>
              <w:t>сообщать о считавших известными им фактами коррупции, причинах и условиях, способствующих их совершению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возможности оперативно сообщать гражданам о фактах проявления коррупции, оперативное реагирование </w:t>
            </w:r>
            <w:r w:rsidRPr="00923BAB">
              <w:rPr>
                <w:rFonts w:ascii="Times New Roman" w:eastAsiaTheme="minorEastAsia" w:hAnsi="Times New Roman" w:cs="Times New Roman"/>
                <w:sz w:val="20"/>
                <w:szCs w:val="20"/>
                <w:lang w:eastAsia="ru-RU"/>
              </w:rPr>
              <w:lastRenderedPageBreak/>
              <w:t>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администрации МР «Печора» </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Анализ жалоб и обращений о фактах коррупции в ОМСУ МО 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 руководители  отраслевых органов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5.1.8</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 xml:space="preserve">имеющие статус отдельного юридического лица (при их наличии), муниципальных образованиях сельских поселений, расположенных в границах МО </w:t>
            </w:r>
            <w:r w:rsidRPr="00923BAB">
              <w:rPr>
                <w:rFonts w:ascii="Times New Roman" w:eastAsiaTheme="minorEastAsia" w:hAnsi="Times New Roman" w:cs="Times New Roman"/>
                <w:sz w:val="20"/>
                <w:szCs w:val="20"/>
                <w:lang w:eastAsia="ru-RU"/>
              </w:rPr>
              <w:lastRenderedPageBreak/>
              <w:t>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923BAB">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lastRenderedPageBreak/>
              <w:t xml:space="preserve">муниципальных </w:t>
            </w:r>
            <w:proofErr w:type="gramStart"/>
            <w:r w:rsidRPr="00923BAB">
              <w:rPr>
                <w:rFonts w:ascii="Times New Roman" w:eastAsiaTheme="minorEastAsia" w:hAnsi="Times New Roman" w:cs="Times New Roman"/>
                <w:sz w:val="20"/>
                <w:szCs w:val="20"/>
                <w:lang w:eastAsia="ru-RU"/>
              </w:rPr>
              <w:t>образованиях</w:t>
            </w:r>
            <w:proofErr w:type="gramEnd"/>
            <w:r w:rsidRPr="00923BAB">
              <w:rPr>
                <w:rFonts w:ascii="Times New Roman" w:eastAsiaTheme="minorEastAsia" w:hAnsi="Times New Roman" w:cs="Times New Roman"/>
                <w:sz w:val="20"/>
                <w:szCs w:val="20"/>
                <w:lang w:eastAsia="ru-RU"/>
              </w:rPr>
              <w:t xml:space="preserve"> сельских поселений, расположенных в границах МО МР «Печора»  их 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5.1.9</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наполнения и актуализации раздела по противодействию </w:t>
            </w:r>
            <w:proofErr w:type="gramStart"/>
            <w:r w:rsidRPr="00923BAB">
              <w:rPr>
                <w:rFonts w:ascii="Times New Roman" w:eastAsiaTheme="minorEastAsia" w:hAnsi="Times New Roman" w:cs="Times New Roman"/>
                <w:sz w:val="20"/>
                <w:szCs w:val="20"/>
                <w:lang w:eastAsia="ru-RU"/>
              </w:rPr>
              <w:t>коррупции официальных сайтов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Задача 2.</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w:t>
            </w:r>
            <w:r w:rsidRPr="00923BAB">
              <w:rPr>
                <w:rFonts w:ascii="Times New Roman" w:eastAsiaTheme="minorEastAsia" w:hAnsi="Times New Roman" w:cs="Times New Roman"/>
                <w:sz w:val="20"/>
                <w:szCs w:val="20"/>
                <w:lang w:eastAsia="ru-RU"/>
              </w:rPr>
              <w:lastRenderedPageBreak/>
              <w:t>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w:t>
            </w:r>
            <w:r w:rsidRPr="00923BAB">
              <w:rPr>
                <w:rFonts w:ascii="Times New Roman" w:eastAsiaTheme="minorEastAsia" w:hAnsi="Times New Roman" w:cs="Times New Roman"/>
                <w:sz w:val="20"/>
                <w:szCs w:val="20"/>
                <w:lang w:eastAsia="ru-RU"/>
              </w:rPr>
              <w:lastRenderedPageBreak/>
              <w:t>коррупционных проявлений, отсутствие фактов нарушения законодательства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Наличие фактов несоблюдения муниципальными служащими законодательства о 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w:t>
            </w:r>
            <w:r w:rsidRPr="00923BAB">
              <w:rPr>
                <w:rFonts w:ascii="Times New Roman" w:eastAsiaTheme="minorEastAsia" w:hAnsi="Times New Roman" w:cs="Times New Roman"/>
                <w:sz w:val="20"/>
                <w:szCs w:val="20"/>
                <w:lang w:eastAsia="ru-RU"/>
              </w:rPr>
              <w:lastRenderedPageBreak/>
              <w:t>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w:t>
            </w:r>
            <w:r w:rsidRPr="00923BAB">
              <w:rPr>
                <w:rFonts w:ascii="Times New Roman" w:eastAsiaTheme="minorEastAsia" w:hAnsi="Times New Roman" w:cs="Times New Roman"/>
                <w:sz w:val="19"/>
                <w:szCs w:val="19"/>
                <w:lang w:eastAsia="ru-RU"/>
              </w:rPr>
              <w:t xml:space="preserve">  отдельного юридического</w:t>
            </w:r>
            <w:proofErr w:type="gramEnd"/>
            <w:r w:rsidRPr="00923BAB">
              <w:rPr>
                <w:rFonts w:ascii="Times New Roman" w:eastAsiaTheme="minorEastAsia" w:hAnsi="Times New Roman" w:cs="Times New Roman"/>
                <w:sz w:val="19"/>
                <w:szCs w:val="19"/>
                <w:lang w:eastAsia="ru-RU"/>
              </w:rPr>
              <w:t xml:space="preserve"> лица</w:t>
            </w:r>
          </w:p>
          <w:p w:rsidR="00923BAB" w:rsidRPr="00923BAB" w:rsidRDefault="00923BAB" w:rsidP="00923BAB">
            <w:pPr>
              <w:spacing w:after="0"/>
              <w:jc w:val="center"/>
              <w:rPr>
                <w:rFonts w:ascii="Times New Roman" w:eastAsiaTheme="minorEastAsia" w:hAnsi="Times New Roman" w:cs="Times New Roman"/>
                <w:sz w:val="19"/>
                <w:szCs w:val="19"/>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несвоевременного представления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внутреннего мониторинга достоверности и полноты сведений о доходах, об имуществе и обязательствах </w:t>
            </w:r>
            <w:r w:rsidRPr="00923BAB">
              <w:rPr>
                <w:rFonts w:ascii="Times New Roman" w:eastAsiaTheme="minorEastAsia" w:hAnsi="Times New Roman" w:cs="Times New Roman"/>
                <w:sz w:val="20"/>
                <w:szCs w:val="20"/>
                <w:lang w:eastAsia="ru-RU"/>
              </w:rPr>
              <w:lastRenderedPageBreak/>
              <w:t>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Контроль за соблюдением муниципальными служащими и руководителями подведомственных </w:t>
            </w:r>
            <w:r w:rsidRPr="00923BAB">
              <w:rPr>
                <w:rFonts w:ascii="Times New Roman" w:eastAsiaTheme="minorEastAsia" w:hAnsi="Times New Roman" w:cs="Times New Roman"/>
                <w:sz w:val="20"/>
                <w:szCs w:val="20"/>
                <w:lang w:eastAsia="ru-RU"/>
              </w:rPr>
              <w:lastRenderedPageBreak/>
              <w:t>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lastRenderedPageBreak/>
              <w:t xml:space="preserve">Отсутствие контроля за соблюдением муниципальными служащими и руководителями </w:t>
            </w:r>
            <w:r w:rsidRPr="00923BAB">
              <w:rPr>
                <w:rFonts w:ascii="Times New Roman" w:eastAsiaTheme="minorEastAsia" w:hAnsi="Times New Roman" w:cs="Times New Roman"/>
                <w:sz w:val="20"/>
                <w:szCs w:val="20"/>
                <w:lang w:eastAsia="ru-RU"/>
              </w:rPr>
              <w:lastRenderedPageBreak/>
              <w:t>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Доля муниципальных служащих, в отношении сведений о доходах, об имуществе и обязательствах имущественного характера которых проведен внутренний </w:t>
            </w:r>
            <w:r w:rsidRPr="00923BAB">
              <w:rPr>
                <w:rFonts w:ascii="Times New Roman" w:eastAsiaTheme="minorEastAsia" w:hAnsi="Times New Roman" w:cs="Times New Roman"/>
                <w:sz w:val="20"/>
                <w:szCs w:val="20"/>
                <w:lang w:eastAsia="ru-RU"/>
              </w:rPr>
              <w:lastRenderedPageBreak/>
              <w:t>мониторинг,  от общего числа муниципальных служащих, представляющих указанные сведения</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5.2.4</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сведений о доходах, расходах, об имуществе и обязательствах </w:t>
            </w:r>
            <w:r w:rsidRPr="00923BAB">
              <w:rPr>
                <w:rFonts w:ascii="Times New Roman" w:eastAsiaTheme="minorEastAsia" w:hAnsi="Times New Roman" w:cs="Times New Roman"/>
                <w:sz w:val="20"/>
                <w:szCs w:val="20"/>
                <w:lang w:eastAsia="ru-RU"/>
              </w:rPr>
              <w:lastRenderedPageBreak/>
              <w:t>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открытости информации о доходах, расходах, об имуществе и обязательствах </w:t>
            </w:r>
            <w:r w:rsidRPr="00923BAB">
              <w:rPr>
                <w:rFonts w:ascii="Times New Roman" w:eastAsiaTheme="minorEastAsia" w:hAnsi="Times New Roman" w:cs="Times New Roman"/>
                <w:sz w:val="20"/>
                <w:szCs w:val="20"/>
                <w:lang w:eastAsia="ru-RU"/>
              </w:rPr>
              <w:lastRenderedPageBreak/>
              <w:t>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Наличие фактов скрытия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xml:space="preserve">, расходах, об имуществе и </w:t>
            </w:r>
            <w:r w:rsidRPr="00923BAB">
              <w:rPr>
                <w:rFonts w:ascii="Times New Roman" w:eastAsiaTheme="minorEastAsia" w:hAnsi="Times New Roman" w:cs="Times New Roman"/>
                <w:sz w:val="20"/>
                <w:szCs w:val="20"/>
                <w:lang w:eastAsia="ru-RU"/>
              </w:rPr>
              <w:lastRenderedPageBreak/>
              <w:t>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w:t>
            </w:r>
            <w:r w:rsidRPr="00923BAB">
              <w:rPr>
                <w:rFonts w:ascii="Times New Roman" w:eastAsiaTheme="minorEastAsia" w:hAnsi="Times New Roman" w:cs="Times New Roman"/>
                <w:sz w:val="20"/>
                <w:szCs w:val="20"/>
                <w:lang w:eastAsia="ru-RU"/>
              </w:rPr>
              <w:lastRenderedPageBreak/>
              <w:t>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 соблюдение муниципальными служащими МО МР «Печора» требований к служебному поведению и 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w:t>
            </w:r>
            <w:r w:rsidRPr="00923BAB">
              <w:rPr>
                <w:rFonts w:ascii="Times New Roman" w:eastAsiaTheme="minorEastAsia" w:hAnsi="Times New Roman" w:cs="Times New Roman"/>
                <w:sz w:val="20"/>
                <w:szCs w:val="20"/>
                <w:lang w:eastAsia="ru-RU"/>
              </w:rPr>
              <w:lastRenderedPageBreak/>
              <w:t>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FE7F67">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923BAB">
              <w:rPr>
                <w:rFonts w:ascii="Times New Roman" w:eastAsiaTheme="minorEastAsia" w:hAnsi="Times New Roman" w:cs="Times New Roman"/>
                <w:sz w:val="20"/>
                <w:szCs w:val="20"/>
                <w:lang w:eastAsia="ru-RU"/>
              </w:rPr>
              <w:t>лицами</w:t>
            </w:r>
            <w:proofErr w:type="gramEnd"/>
            <w:r w:rsidRPr="00923BAB">
              <w:rPr>
                <w:rFonts w:ascii="Times New Roman" w:eastAsiaTheme="minorEastAsia" w:hAnsi="Times New Roman" w:cs="Times New Roman"/>
                <w:sz w:val="20"/>
                <w:szCs w:val="20"/>
                <w:lang w:eastAsia="ru-RU"/>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 xml:space="preserve">оценки </w:t>
            </w:r>
            <w:r w:rsidRPr="00923BAB">
              <w:rPr>
                <w:rFonts w:ascii="Times New Roman" w:eastAsiaTheme="minorEastAsia" w:hAnsi="Times New Roman" w:cs="Times New Roman"/>
                <w:sz w:val="20"/>
                <w:szCs w:val="20"/>
                <w:lang w:eastAsia="ru-RU"/>
              </w:rPr>
              <w:lastRenderedPageBreak/>
              <w:t>эффективности деятельности ответственных должностных лиц органов местного</w:t>
            </w:r>
            <w:proofErr w:type="gramEnd"/>
            <w:r w:rsidRPr="00923BAB">
              <w:rPr>
                <w:rFonts w:ascii="Times New Roman" w:eastAsiaTheme="minorEastAsia" w:hAnsi="Times New Roman" w:cs="Times New Roman"/>
                <w:sz w:val="20"/>
                <w:szCs w:val="20"/>
                <w:lang w:eastAsia="ru-RU"/>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w:t>
            </w:r>
            <w:r w:rsidRPr="00923BAB">
              <w:rPr>
                <w:rFonts w:ascii="Times New Roman" w:eastAsiaTheme="minorEastAsia" w:hAnsi="Times New Roman" w:cs="Times New Roman"/>
                <w:sz w:val="20"/>
                <w:szCs w:val="20"/>
                <w:lang w:eastAsia="ru-RU"/>
              </w:rPr>
              <w:lastRenderedPageBreak/>
              <w:t>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ответственности и </w:t>
            </w:r>
            <w:r w:rsidRPr="00923BAB">
              <w:rPr>
                <w:rFonts w:ascii="Times New Roman" w:eastAsiaTheme="minorEastAsia" w:hAnsi="Times New Roman" w:cs="Times New Roman"/>
                <w:sz w:val="20"/>
                <w:szCs w:val="20"/>
                <w:lang w:eastAsia="ru-RU"/>
              </w:rPr>
              <w:lastRenderedPageBreak/>
              <w:t>профессионализма в деятельности должностных лиц, ответственных за 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ответственности и </w:t>
            </w:r>
            <w:r w:rsidRPr="00923BAB">
              <w:rPr>
                <w:rFonts w:ascii="Times New Roman" w:eastAsiaTheme="minorEastAsia" w:hAnsi="Times New Roman" w:cs="Times New Roman"/>
                <w:sz w:val="20"/>
                <w:szCs w:val="20"/>
                <w:lang w:eastAsia="ru-RU"/>
              </w:rPr>
              <w:lastRenderedPageBreak/>
              <w:t>профессионализма в деятельности должностных лиц, ответственных за 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Оценка </w:t>
            </w:r>
            <w:proofErr w:type="gramStart"/>
            <w:r w:rsidRPr="00923BAB">
              <w:rPr>
                <w:rFonts w:ascii="Times New Roman" w:eastAsiaTheme="minorEastAsia" w:hAnsi="Times New Roman" w:cs="Times New Roman"/>
                <w:sz w:val="20"/>
                <w:szCs w:val="20"/>
                <w:lang w:eastAsia="ru-RU"/>
              </w:rPr>
              <w:t xml:space="preserve">эффективности деятельности ответственных </w:t>
            </w:r>
            <w:r w:rsidRPr="00923BAB">
              <w:rPr>
                <w:rFonts w:ascii="Times New Roman" w:eastAsiaTheme="minorEastAsia" w:hAnsi="Times New Roman" w:cs="Times New Roman"/>
                <w:sz w:val="20"/>
                <w:szCs w:val="20"/>
                <w:lang w:eastAsia="ru-RU"/>
              </w:rPr>
              <w:lastRenderedPageBreak/>
              <w:t>должностных лиц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5.2.8</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w:t>
            </w:r>
            <w:r w:rsidRPr="00923BAB">
              <w:rPr>
                <w:rFonts w:ascii="Times New Roman" w:eastAsiaTheme="minorEastAsia" w:hAnsi="Times New Roman" w:cs="Times New Roman"/>
                <w:sz w:val="20"/>
                <w:szCs w:val="20"/>
                <w:lang w:eastAsia="ru-RU"/>
              </w:rPr>
              <w:lastRenderedPageBreak/>
              <w:t>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line="240" w:lineRule="auto"/>
              <w:jc w:val="center"/>
              <w:rPr>
                <w:rFonts w:ascii="Times New Roman" w:eastAsia="Times New Roman" w:hAnsi="Times New Roman" w:cs="Times New Roman"/>
                <w:b/>
                <w:sz w:val="24"/>
                <w:szCs w:val="24"/>
                <w:lang w:eastAsia="ru-RU"/>
              </w:rPr>
            </w:pPr>
            <w:r w:rsidRPr="00923BAB">
              <w:rPr>
                <w:rFonts w:ascii="Times New Roman" w:eastAsia="Times New Roman" w:hAnsi="Times New Roman" w:cs="Times New Roman"/>
                <w:b/>
                <w:sz w:val="24"/>
                <w:szCs w:val="24"/>
                <w:lang w:eastAsia="ru-RU"/>
              </w:rPr>
              <w:lastRenderedPageBreak/>
              <w:t>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Качество разработанных проектов муниципальных правовых актов </w:t>
            </w:r>
            <w:r w:rsidRPr="00923BAB">
              <w:rPr>
                <w:rFonts w:ascii="Times New Roman" w:eastAsiaTheme="minorEastAsia" w:hAnsi="Times New Roman" w:cs="Times New Roman"/>
                <w:sz w:val="20"/>
                <w:szCs w:val="20"/>
                <w:lang w:eastAsia="ru-RU"/>
              </w:rPr>
              <w:lastRenderedPageBreak/>
              <w:t xml:space="preserve">муниципального образования муниципального района «Печора» (снижение количества выявленных </w:t>
            </w:r>
            <w:proofErr w:type="spellStart"/>
            <w:r w:rsidRPr="00923BAB">
              <w:rPr>
                <w:rFonts w:ascii="Times New Roman" w:eastAsiaTheme="minorEastAsia" w:hAnsi="Times New Roman" w:cs="Times New Roman"/>
                <w:sz w:val="20"/>
                <w:szCs w:val="20"/>
                <w:lang w:eastAsia="ru-RU"/>
              </w:rPr>
              <w:t>коррупциогенных</w:t>
            </w:r>
            <w:proofErr w:type="spellEnd"/>
            <w:r w:rsidRPr="00923BAB">
              <w:rPr>
                <w:rFonts w:ascii="Times New Roman" w:eastAsiaTheme="minorEastAsia" w:hAnsi="Times New Roman" w:cs="Times New Roman"/>
                <w:sz w:val="20"/>
                <w:szCs w:val="20"/>
                <w:lang w:eastAsia="ru-RU"/>
              </w:rPr>
              <w:t xml:space="preserve"> факторов в отчетном периоде по сравнению с аналогичным периодом прошлого года)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антикоррупционной экспертизы муниципальных правовых 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качества муниципальных правовых актов МО МР «Печора», выявление и устранение </w:t>
            </w:r>
            <w:proofErr w:type="spellStart"/>
            <w:r w:rsidRPr="00923BAB">
              <w:rPr>
                <w:rFonts w:ascii="Times New Roman" w:eastAsiaTheme="minorEastAsia" w:hAnsi="Times New Roman" w:cs="Times New Roman"/>
                <w:sz w:val="20"/>
                <w:szCs w:val="20"/>
                <w:lang w:eastAsia="ru-RU"/>
              </w:rPr>
              <w:t>коррупциогенных</w:t>
            </w:r>
            <w:proofErr w:type="spellEnd"/>
            <w:r w:rsidRPr="00923BAB">
              <w:rPr>
                <w:rFonts w:ascii="Times New Roman" w:eastAsiaTheme="minorEastAsia" w:hAnsi="Times New Roman" w:cs="Times New Roman"/>
                <w:sz w:val="20"/>
                <w:szCs w:val="20"/>
                <w:lang w:eastAsia="ru-RU"/>
              </w:rPr>
              <w:t xml:space="preserve">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качества муниципальных правовых актов МО МР «Печора», не выявление и не устранение </w:t>
            </w:r>
            <w:proofErr w:type="spellStart"/>
            <w:r w:rsidRPr="00923BAB">
              <w:rPr>
                <w:rFonts w:ascii="Times New Roman" w:eastAsiaTheme="minorEastAsia" w:hAnsi="Times New Roman" w:cs="Times New Roman"/>
                <w:sz w:val="20"/>
                <w:szCs w:val="20"/>
                <w:lang w:eastAsia="ru-RU"/>
              </w:rPr>
              <w:t>коррупциогенных</w:t>
            </w:r>
            <w:proofErr w:type="spellEnd"/>
            <w:r w:rsidRPr="00923BAB">
              <w:rPr>
                <w:rFonts w:ascii="Times New Roman" w:eastAsiaTheme="minorEastAsia" w:hAnsi="Times New Roman" w:cs="Times New Roman"/>
                <w:sz w:val="20"/>
                <w:szCs w:val="20"/>
                <w:lang w:eastAsia="ru-RU"/>
              </w:rPr>
              <w:t xml:space="preserve"> 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актуализация административных регламентов предоставления муниципальных услуг по осуществлению 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Отдел экономики </w:t>
            </w:r>
            <w:r w:rsidRPr="00923BAB">
              <w:rPr>
                <w:rFonts w:ascii="Times New Roman" w:eastAsiaTheme="minorEastAsia" w:hAnsi="Times New Roman" w:cs="Times New Roman"/>
                <w:sz w:val="20"/>
                <w:szCs w:val="20"/>
                <w:lang w:eastAsia="ru-RU"/>
              </w:rPr>
              <w:lastRenderedPageBreak/>
              <w:t>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Упорядочение деятельности органов местного самоуправления МО МР «Печора», отраслевых (функциональных) органов администрации </w:t>
            </w:r>
            <w:r w:rsidRPr="00923BAB">
              <w:rPr>
                <w:rFonts w:ascii="Times New Roman" w:eastAsiaTheme="minorEastAsia" w:hAnsi="Times New Roman" w:cs="Times New Roman"/>
                <w:sz w:val="20"/>
                <w:szCs w:val="20"/>
                <w:lang w:eastAsia="ru-RU"/>
              </w:rPr>
              <w:lastRenderedPageBreak/>
              <w:t>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Наличие условий коррупционных проявлений при предоставлении муниципальных услуг, при осуществлении </w:t>
            </w:r>
            <w:r w:rsidRPr="00923BAB">
              <w:rPr>
                <w:rFonts w:ascii="Times New Roman" w:eastAsiaTheme="minorEastAsia" w:hAnsi="Times New Roman" w:cs="Times New Roman"/>
                <w:sz w:val="20"/>
                <w:szCs w:val="20"/>
                <w:lang w:eastAsia="ru-RU"/>
              </w:rPr>
              <w:lastRenderedPageBreak/>
              <w:t>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w:t>
            </w:r>
            <w:r w:rsidRPr="00923BAB">
              <w:rPr>
                <w:rFonts w:ascii="Times New Roman" w:eastAsiaTheme="minorEastAsia" w:hAnsi="Times New Roman" w:cs="Times New Roman"/>
                <w:sz w:val="20"/>
                <w:szCs w:val="20"/>
                <w:lang w:eastAsia="ru-RU"/>
              </w:rPr>
              <w:lastRenderedPageBreak/>
              <w:t>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923BAB">
              <w:rPr>
                <w:rFonts w:ascii="Times New Roman" w:eastAsiaTheme="minorEastAsia" w:hAnsi="Times New Roman" w:cs="Times New Roman"/>
                <w:sz w:val="20"/>
                <w:szCs w:val="20"/>
                <w:lang w:eastAsia="ru-RU"/>
              </w:rPr>
              <w:t>.</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сем осуществляемым функциям муниципального контроля;</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оказываемых муниципальных услуг, по которым разработаны </w:t>
            </w:r>
            <w:r w:rsidRPr="00923BAB">
              <w:rPr>
                <w:rFonts w:ascii="Times New Roman" w:eastAsiaTheme="minorEastAsia" w:hAnsi="Times New Roman" w:cs="Times New Roman"/>
                <w:sz w:val="20"/>
                <w:szCs w:val="20"/>
                <w:lang w:eastAsia="ru-RU"/>
              </w:rPr>
              <w:lastRenderedPageBreak/>
              <w:t>административные регламенты, от общего числа предоставляемых муниципальных услуг</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ознакомленных с обзорами правоприменительной практики</w:t>
            </w:r>
          </w:p>
        </w:tc>
      </w:tr>
      <w:tr w:rsidR="00923BAB" w:rsidRPr="00923BAB" w:rsidTr="00FE7F67">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5.3.7.</w:t>
            </w:r>
          </w:p>
          <w:p w:rsidR="00923BAB" w:rsidRPr="00923BAB" w:rsidRDefault="00923BAB" w:rsidP="00923BAB">
            <w:pPr>
              <w:jc w:val="center"/>
              <w:rPr>
                <w:rFonts w:ascii="Times New Roman" w:eastAsiaTheme="minorEastAsia" w:hAnsi="Times New Roman" w:cs="Times New Roman"/>
                <w:sz w:val="20"/>
                <w:szCs w:val="20"/>
                <w:lang w:eastAsia="ru-RU"/>
              </w:rPr>
            </w:pP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5.3.8.</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5.3.9.</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5.3.10.</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B7059C" w:rsidRDefault="00923BAB" w:rsidP="00923BAB">
            <w:pPr>
              <w:spacing w:after="0" w:line="240" w:lineRule="auto"/>
              <w:jc w:val="center"/>
              <w:rPr>
                <w:rFonts w:ascii="Times New Roman" w:eastAsia="Times New Roman" w:hAnsi="Times New Roman" w:cs="Times New Roman"/>
                <w:b/>
                <w:sz w:val="24"/>
                <w:szCs w:val="24"/>
                <w:lang w:eastAsia="ru-RU"/>
              </w:rPr>
            </w:pPr>
            <w:r w:rsidRPr="00B7059C">
              <w:rPr>
                <w:rFonts w:ascii="Times New Roman" w:eastAsia="Times New Roman" w:hAnsi="Times New Roman" w:cs="Times New Roman"/>
                <w:b/>
                <w:sz w:val="24"/>
                <w:szCs w:val="24"/>
                <w:lang w:eastAsia="ru-RU"/>
              </w:rPr>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923BAB" w:rsidRPr="00923BAB" w:rsidTr="00FE7F67">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5.4.1.</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w:t>
            </w:r>
            <w:r w:rsidRPr="00923BAB">
              <w:rPr>
                <w:rFonts w:ascii="Times New Roman" w:eastAsiaTheme="minorEastAsia" w:hAnsi="Times New Roman" w:cs="Times New Roman"/>
                <w:sz w:val="20"/>
                <w:szCs w:val="20"/>
                <w:lang w:eastAsia="ru-RU"/>
              </w:rPr>
              <w:lastRenderedPageBreak/>
              <w:t>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Контрольно-счетная  комиссия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p w:rsidR="00923BAB" w:rsidRPr="00923BAB" w:rsidRDefault="00923BAB" w:rsidP="00923BAB">
            <w:pPr>
              <w:spacing w:after="0"/>
              <w:jc w:val="center"/>
              <w:rPr>
                <w:rFonts w:ascii="Times New Roman" w:eastAsiaTheme="minorEastAsia" w:hAnsi="Times New Roman" w:cs="Times New Roman"/>
                <w:sz w:val="19"/>
                <w:szCs w:val="19"/>
                <w:lang w:eastAsia="ru-RU"/>
              </w:rPr>
            </w:pPr>
            <w:r w:rsidRPr="00923BAB">
              <w:rPr>
                <w:rFonts w:ascii="Times New Roman" w:eastAsiaTheme="minorEastAsia" w:hAnsi="Times New Roman" w:cs="Times New Roman"/>
                <w:sz w:val="20"/>
                <w:szCs w:val="20"/>
                <w:lang w:eastAsia="ru-RU"/>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анализа эффективности бюджетных расходов муниципального бюджета при осуществлении закупок товаров, работ, услуг</w:t>
            </w:r>
            <w:r w:rsidRPr="00923BAB" w:rsidDel="00C0088D">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муниципальных закупок и договорной работы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C42AF9" w:rsidRDefault="00923BAB" w:rsidP="00923BAB">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C42AF9">
              <w:rPr>
                <w:rFonts w:ascii="Times New Roman" w:eastAsia="Times New Roman" w:hAnsi="Times New Roman" w:cs="Times New Roman"/>
                <w:b/>
                <w:sz w:val="24"/>
                <w:szCs w:val="24"/>
                <w:lang w:eastAsia="ru-RU"/>
              </w:rPr>
              <w:t>контроль за</w:t>
            </w:r>
            <w:proofErr w:type="gramEnd"/>
            <w:r w:rsidRPr="00C42AF9">
              <w:rPr>
                <w:rFonts w:ascii="Times New Roman" w:eastAsia="Times New Roman" w:hAnsi="Times New Roman" w:cs="Times New Roman"/>
                <w:b/>
                <w:sz w:val="24"/>
                <w:szCs w:val="24"/>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923BAB" w:rsidRPr="00923BAB" w:rsidTr="00FE7F67">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5.5.1.</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соответствие с федеральным и республиканским законодательством), по 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r>
      <w:tr w:rsidR="00923BAB" w:rsidRPr="00923BAB" w:rsidTr="00FE7F67">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5.5.2.</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деятельности подведомственных муниципальных учреждений, муниципальных унитарных предприятий, организационно-методическое руководство, </w:t>
            </w:r>
            <w:r w:rsidRPr="00923BAB">
              <w:rPr>
                <w:rFonts w:ascii="Times New Roman" w:eastAsiaTheme="minorEastAsia" w:hAnsi="Times New Roman" w:cs="Times New Roman"/>
                <w:sz w:val="20"/>
                <w:szCs w:val="20"/>
                <w:lang w:eastAsia="ru-RU"/>
              </w:rPr>
              <w:lastRenderedPageBreak/>
              <w:t xml:space="preserve">координацию и </w:t>
            </w: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 Контрольно-счетная комиссия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Предупреждение незаконного и неэффективного 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19"/>
                <w:szCs w:val="19"/>
                <w:lang w:eastAsia="ru-RU"/>
              </w:rPr>
            </w:pPr>
          </w:p>
        </w:tc>
      </w:tr>
      <w:tr w:rsidR="00923BAB" w:rsidRPr="00923BAB" w:rsidTr="00FE7F67">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C42AF9" w:rsidRDefault="00923BAB" w:rsidP="00923BAB">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FE7F6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5.6.1.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w:t>
            </w:r>
            <w:r w:rsidRPr="00923BAB">
              <w:rPr>
                <w:rFonts w:ascii="Times New Roman" w:eastAsiaTheme="minorEastAsia" w:hAnsi="Times New Roman" w:cs="Times New Roman"/>
                <w:sz w:val="20"/>
                <w:szCs w:val="20"/>
                <w:lang w:eastAsia="ru-RU"/>
              </w:rPr>
              <w:lastRenderedPageBreak/>
              <w:t>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FE7F6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грамотности, профессионального уровня и знаний в сфере </w:t>
            </w:r>
            <w:proofErr w:type="gramStart"/>
            <w:r w:rsidRPr="00923BAB">
              <w:rPr>
                <w:rFonts w:ascii="Times New Roman" w:eastAsiaTheme="minorEastAsia" w:hAnsi="Times New Roman" w:cs="Times New Roman"/>
                <w:sz w:val="20"/>
                <w:szCs w:val="20"/>
                <w:lang w:eastAsia="ru-RU"/>
              </w:rPr>
              <w:t>противодействия коррупции депутатов советов муниципальных образований сельских</w:t>
            </w:r>
            <w:proofErr w:type="gramEnd"/>
            <w:r w:rsidRPr="00923BAB">
              <w:rPr>
                <w:rFonts w:ascii="Times New Roman" w:eastAsiaTheme="minorEastAsia" w:hAnsi="Times New Roman" w:cs="Times New Roman"/>
                <w:sz w:val="20"/>
                <w:szCs w:val="20"/>
                <w:lang w:eastAsia="ru-RU"/>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rPr>
                <w:rFonts w:ascii="Times New Roman" w:eastAsiaTheme="minorEastAsia" w:hAnsi="Times New Roman" w:cs="Times New Roman"/>
                <w:sz w:val="19"/>
                <w:szCs w:val="19"/>
                <w:lang w:eastAsia="ru-RU"/>
              </w:rPr>
            </w:pPr>
          </w:p>
        </w:tc>
      </w:tr>
      <w:tr w:rsidR="00923BAB" w:rsidRPr="00923BAB" w:rsidTr="00FE7F67">
        <w:trPr>
          <w:trHeight w:val="354"/>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line="240" w:lineRule="auto"/>
              <w:jc w:val="center"/>
              <w:rPr>
                <w:rFonts w:ascii="Times New Roman" w:eastAsia="Times New Roman" w:hAnsi="Times New Roman" w:cs="Times New Roman"/>
                <w:sz w:val="24"/>
                <w:szCs w:val="24"/>
                <w:lang w:eastAsia="ru-RU"/>
              </w:rPr>
            </w:pPr>
            <w:r w:rsidRPr="00C42AF9">
              <w:rPr>
                <w:rFonts w:ascii="Times New Roman" w:eastAsia="Times New Roman" w:hAnsi="Times New Roman" w:cs="Times New Roman"/>
                <w:b/>
                <w:sz w:val="24"/>
                <w:szCs w:val="24"/>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w:t>
            </w:r>
            <w:r w:rsidRPr="00923BAB">
              <w:rPr>
                <w:rFonts w:ascii="Times New Roman" w:eastAsia="Times New Roman" w:hAnsi="Times New Roman" w:cs="Times New Roman"/>
                <w:sz w:val="24"/>
                <w:szCs w:val="24"/>
                <w:lang w:eastAsia="ru-RU"/>
              </w:rPr>
              <w:t xml:space="preserve"> </w:t>
            </w:r>
            <w:r w:rsidRPr="00C42AF9">
              <w:rPr>
                <w:rFonts w:ascii="Times New Roman" w:eastAsia="Times New Roman" w:hAnsi="Times New Roman" w:cs="Times New Roman"/>
                <w:b/>
                <w:sz w:val="24"/>
                <w:szCs w:val="24"/>
                <w:lang w:eastAsia="ru-RU"/>
              </w:rPr>
              <w:t>созданию условий для проявления общественных антикоррупционных инициатив</w:t>
            </w:r>
          </w:p>
        </w:tc>
      </w:tr>
      <w:tr w:rsidR="00923BAB" w:rsidRPr="00923BAB" w:rsidTr="00FE7F67">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5.7.4.</w:t>
            </w:r>
          </w:p>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Обеспечение рассмотрения общественными советами при органах местного самоуправления, в том числе при отраслевых </w:t>
            </w:r>
            <w:r w:rsidRPr="00923BAB">
              <w:rPr>
                <w:rFonts w:ascii="Times New Roman" w:eastAsiaTheme="minorEastAsia" w:hAnsi="Times New Roman" w:cs="Times New Roman"/>
                <w:sz w:val="20"/>
                <w:szCs w:val="20"/>
                <w:lang w:eastAsia="ru-RU"/>
              </w:rPr>
              <w:lastRenderedPageBreak/>
              <w:t>(функциональных)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923BAB">
              <w:rPr>
                <w:rFonts w:ascii="Times New Roman" w:eastAsiaTheme="minorEastAsia" w:hAnsi="Times New Roman" w:cs="Times New Roman"/>
                <w:sz w:val="20"/>
                <w:szCs w:val="20"/>
                <w:lang w:eastAsia="ru-RU"/>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923BAB">
              <w:rPr>
                <w:rFonts w:ascii="Times New Roman" w:eastAsiaTheme="minorEastAsia" w:hAnsi="Times New Roman" w:cs="Times New Roman"/>
                <w:sz w:val="20"/>
                <w:szCs w:val="20"/>
                <w:lang w:eastAsia="ru-RU"/>
              </w:rPr>
              <w:lastRenderedPageBreak/>
              <w:t>общественного обсуждения и проведения независимой антикоррупционной экспертизы (да/нет)</w:t>
            </w:r>
            <w:proofErr w:type="gramEnd"/>
          </w:p>
        </w:tc>
      </w:tr>
      <w:tr w:rsidR="00923BAB" w:rsidRPr="00923BAB" w:rsidTr="00FE7F67">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923BAB">
              <w:rPr>
                <w:rFonts w:ascii="Times New Roman" w:eastAsiaTheme="minorEastAsia" w:hAnsi="Times New Roman" w:cs="Times New Roman"/>
                <w:sz w:val="20"/>
                <w:szCs w:val="20"/>
                <w:lang w:eastAsia="ru-RU"/>
              </w:rPr>
              <w:lastRenderedPageBreak/>
              <w:t>общественного обсуждения и проведения независимой антикоррупционной экспертизы (да/нет)</w:t>
            </w:r>
            <w:proofErr w:type="gramEnd"/>
          </w:p>
        </w:tc>
      </w:tr>
      <w:tr w:rsidR="00923BAB" w:rsidRPr="00923BAB" w:rsidTr="00FE7F67">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923BAB" w:rsidRPr="00923BAB" w:rsidTr="00FE7F67">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5C0C4E" w:rsidRDefault="00923BAB" w:rsidP="00923BAB">
            <w:pPr>
              <w:spacing w:after="0" w:line="240" w:lineRule="auto"/>
              <w:jc w:val="center"/>
              <w:rPr>
                <w:rFonts w:ascii="Times New Roman" w:eastAsia="Times New Roman" w:hAnsi="Times New Roman" w:cs="Times New Roman"/>
                <w:b/>
                <w:sz w:val="24"/>
                <w:szCs w:val="24"/>
                <w:lang w:eastAsia="ru-RU"/>
              </w:rPr>
            </w:pPr>
            <w:bookmarkStart w:id="0" w:name="_GoBack"/>
            <w:r w:rsidRPr="005C0C4E">
              <w:rPr>
                <w:rFonts w:ascii="Times New Roman" w:eastAsia="Times New Roman" w:hAnsi="Times New Roman" w:cs="Times New Roman"/>
                <w:b/>
                <w:sz w:val="24"/>
                <w:szCs w:val="24"/>
                <w:lang w:eastAsia="ru-RU"/>
              </w:rPr>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bookmarkEnd w:id="0"/>
          </w:p>
        </w:tc>
      </w:tr>
      <w:tr w:rsidR="00923BAB" w:rsidRPr="00923BAB" w:rsidTr="00FE7F67">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5.8.1.</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923BAB">
            <w:pPr>
              <w:spacing w:after="0"/>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5.8.2.</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осуществления муниципального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мониторинга правовых актов в сфере противодействия коррупции, принятых в муниципальных учреждениях, муниципальных унитарных </w:t>
            </w:r>
            <w:r w:rsidRPr="00923BAB">
              <w:rPr>
                <w:rFonts w:ascii="Times New Roman" w:eastAsiaTheme="minorEastAsia" w:hAnsi="Times New Roman" w:cs="Times New Roman"/>
                <w:sz w:val="20"/>
                <w:szCs w:val="20"/>
                <w:lang w:eastAsia="ru-RU"/>
              </w:rPr>
              <w:lastRenderedPageBreak/>
              <w:t>предприятиях (да/нет)</w:t>
            </w:r>
          </w:p>
        </w:tc>
      </w:tr>
      <w:tr w:rsidR="00923BAB" w:rsidRPr="00923BAB" w:rsidTr="00FE7F67">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5.8.3.</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 применения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5.8.4.</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5.8.5.</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5.8.6.</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FE7F67">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5.8.7.</w:t>
            </w:r>
          </w:p>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обеспечения прав граждан и организаций на доступ к информации о </w:t>
            </w:r>
            <w:r w:rsidRPr="00923BAB">
              <w:rPr>
                <w:rFonts w:ascii="Times New Roman" w:eastAsiaTheme="minorEastAsia" w:hAnsi="Times New Roman" w:cs="Times New Roman"/>
                <w:sz w:val="20"/>
                <w:szCs w:val="20"/>
                <w:lang w:eastAsia="ru-RU"/>
              </w:rPr>
              <w:lastRenderedPageBreak/>
              <w:t>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Выработка предложений по устранению выявленных в ходе проведения мониторинга </w:t>
            </w:r>
            <w:r w:rsidRPr="00923BAB">
              <w:rPr>
                <w:rFonts w:ascii="Times New Roman" w:eastAsiaTheme="minorEastAsia" w:hAnsi="Times New Roman" w:cs="Times New Roman"/>
                <w:sz w:val="20"/>
                <w:szCs w:val="20"/>
                <w:lang w:eastAsia="ru-RU"/>
              </w:rPr>
              <w:lastRenderedPageBreak/>
              <w:t>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доступа доступ к информации о деятельности органов местного </w:t>
            </w:r>
            <w:r w:rsidRPr="00923BAB">
              <w:rPr>
                <w:rFonts w:ascii="Times New Roman" w:eastAsiaTheme="minorEastAsia" w:hAnsi="Times New Roman" w:cs="Times New Roman"/>
                <w:sz w:val="20"/>
                <w:szCs w:val="20"/>
                <w:lang w:eastAsia="ru-RU"/>
              </w:rPr>
              <w:lastRenderedPageBreak/>
              <w:t>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923BAB">
            <w:pPr>
              <w:spacing w:after="0"/>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коррупции, принятых в муниципальных учреждениях, </w:t>
            </w:r>
            <w:r w:rsidRPr="00923BAB">
              <w:rPr>
                <w:rFonts w:ascii="Times New Roman" w:eastAsiaTheme="minorEastAsia" w:hAnsi="Times New Roman" w:cs="Times New Roman"/>
                <w:sz w:val="20"/>
                <w:szCs w:val="20"/>
                <w:lang w:eastAsia="ru-RU"/>
              </w:rPr>
              <w:lastRenderedPageBreak/>
              <w:t>муниципальных унитарных предприятиях (да/нет)</w:t>
            </w:r>
          </w:p>
        </w:tc>
      </w:tr>
    </w:tbl>
    <w:p w:rsidR="00923BAB" w:rsidRDefault="001F15EE" w:rsidP="001F15EE">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w:t>
      </w:r>
    </w:p>
    <w:p w:rsidR="001F15EE" w:rsidRPr="00923BAB" w:rsidRDefault="001F15EE" w:rsidP="001F15EE">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_________________________________________________________________</w:t>
      </w:r>
    </w:p>
    <w:sectPr w:rsidR="001F15EE" w:rsidRPr="00923BAB" w:rsidSect="00631AE8">
      <w:pgSz w:w="16838" w:h="11906" w:orient="landscape"/>
      <w:pgMar w:top="850"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AB"/>
    <w:rsid w:val="00194638"/>
    <w:rsid w:val="001F15EE"/>
    <w:rsid w:val="00530C24"/>
    <w:rsid w:val="005C0C4E"/>
    <w:rsid w:val="00631AE8"/>
    <w:rsid w:val="00923BAB"/>
    <w:rsid w:val="00A416D9"/>
    <w:rsid w:val="00B7059C"/>
    <w:rsid w:val="00C42AF9"/>
    <w:rsid w:val="00E3115E"/>
    <w:rsid w:val="00F50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51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4B8BAB9E70FC860436DE29E57D1F978BA7B1AD2FF0D91756BE112799E4Y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51</Pages>
  <Words>12221</Words>
  <Characters>69662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Широкая ОА</cp:lastModifiedBy>
  <cp:revision>9</cp:revision>
  <dcterms:created xsi:type="dcterms:W3CDTF">2023-10-17T08:00:00Z</dcterms:created>
  <dcterms:modified xsi:type="dcterms:W3CDTF">2023-12-28T14:30:00Z</dcterms:modified>
</cp:coreProperties>
</file>