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62" w:rsidRDefault="00ED7162" w:rsidP="00ED7162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:rsidR="00ED7162" w:rsidRDefault="00ED7162" w:rsidP="00ED7162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pStyle w:val="1"/>
        <w:tabs>
          <w:tab w:val="left" w:pos="708"/>
        </w:tabs>
        <w:ind w:firstLine="0"/>
        <w:jc w:val="center"/>
      </w:pPr>
      <w:proofErr w:type="gramStart"/>
      <w:r>
        <w:t>З</w:t>
      </w:r>
      <w:proofErr w:type="gramEnd"/>
      <w:r>
        <w:t xml:space="preserve"> А Я В К А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</w:t>
      </w:r>
      <w:r w:rsidR="00645CBD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__ г.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:rsidR="00ED7162" w:rsidRDefault="00ED7162" w:rsidP="00ED7162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действующего</w:t>
      </w:r>
      <w:proofErr w:type="gramEnd"/>
      <w:r>
        <w:rPr>
          <w:sz w:val="24"/>
        </w:rPr>
        <w:t xml:space="preserve"> на основании __________________________________________________,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ED7162" w:rsidTr="00ED7162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D7162" w:rsidTr="00ED7162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ED7162" w:rsidTr="00ED7162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&lt;1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юридическим лицом.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&lt;2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лицом, действующим по доверенности.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proofErr w:type="gramStart"/>
      <w:r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</w:t>
      </w:r>
      <w:proofErr w:type="gramEnd"/>
      <w:r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7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:rsidR="00ED7162" w:rsidRDefault="00ED7162" w:rsidP="00ED7162">
      <w:pPr>
        <w:jc w:val="both"/>
        <w:outlineLvl w:val="0"/>
        <w:rPr>
          <w:sz w:val="24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>при наличии)</w:t>
      </w:r>
      <w:r>
        <w:rPr>
          <w:sz w:val="24"/>
        </w:rPr>
        <w:t xml:space="preserve">              "___" ________________ 20___ г.</w:t>
      </w:r>
    </w:p>
    <w:p w:rsidR="00ED7162" w:rsidRDefault="00ED7162" w:rsidP="00ED7162">
      <w:pPr>
        <w:jc w:val="both"/>
        <w:rPr>
          <w:sz w:val="24"/>
        </w:rPr>
      </w:pPr>
    </w:p>
    <w:p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527D9D"/>
    <w:rsid w:val="00645CBD"/>
    <w:rsid w:val="006B6D41"/>
    <w:rsid w:val="00862FF9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2019-11-28T12:30:00Z</dcterms:created>
  <dcterms:modified xsi:type="dcterms:W3CDTF">2020-01-24T09:33:00Z</dcterms:modified>
</cp:coreProperties>
</file>