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39DABC" wp14:editId="4A8949A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831E2F" w:rsidRPr="00831E2F" w:rsidRDefault="00831E2F" w:rsidP="00831E2F">
      <w:pPr>
        <w:jc w:val="center"/>
        <w:rPr>
          <w:b/>
          <w:bCs/>
          <w:sz w:val="26"/>
          <w:szCs w:val="26"/>
        </w:rPr>
      </w:pPr>
      <w:r w:rsidRPr="00831E2F">
        <w:rPr>
          <w:b/>
          <w:bCs/>
          <w:sz w:val="26"/>
          <w:szCs w:val="26"/>
        </w:rPr>
        <w:t>О внесении изменений в решение Совета муниципального района «Печора»</w:t>
      </w:r>
    </w:p>
    <w:p w:rsidR="00831E2F" w:rsidRPr="00831E2F" w:rsidRDefault="00831E2F" w:rsidP="00831E2F">
      <w:pPr>
        <w:jc w:val="center"/>
        <w:rPr>
          <w:b/>
          <w:bCs/>
          <w:sz w:val="26"/>
          <w:szCs w:val="26"/>
        </w:rPr>
      </w:pPr>
      <w:r w:rsidRPr="00831E2F">
        <w:rPr>
          <w:b/>
          <w:bCs/>
          <w:sz w:val="26"/>
          <w:szCs w:val="26"/>
        </w:rPr>
        <w:t xml:space="preserve"> </w:t>
      </w:r>
      <w:r w:rsidRPr="00831E2F">
        <w:rPr>
          <w:b/>
          <w:sz w:val="26"/>
          <w:szCs w:val="26"/>
        </w:rPr>
        <w:t xml:space="preserve">от 22 декабря 2021 года № 7-14/163 </w:t>
      </w:r>
      <w:r w:rsidRPr="00831E2F">
        <w:rPr>
          <w:sz w:val="26"/>
          <w:szCs w:val="26"/>
        </w:rPr>
        <w:t>«</w:t>
      </w:r>
      <w:r w:rsidRPr="00831E2F">
        <w:rPr>
          <w:b/>
          <w:bCs/>
          <w:sz w:val="26"/>
          <w:szCs w:val="26"/>
        </w:rPr>
        <w:t>Об утверждении Положения о муниципальном контроле на автомобильном транспорте и в дорожном хозяйстве на территории сельских поселений, входящих в состав муниципального района «Печора»</w:t>
      </w:r>
    </w:p>
    <w:p w:rsidR="00831E2F" w:rsidRPr="00831E2F" w:rsidRDefault="00831E2F" w:rsidP="00831E2F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1E2F" w:rsidRPr="00831E2F" w:rsidRDefault="00831E2F" w:rsidP="00831E2F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1E2F" w:rsidRPr="00831E2F" w:rsidRDefault="00831E2F" w:rsidP="00831E2F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831E2F">
        <w:rPr>
          <w:sz w:val="26"/>
          <w:szCs w:val="26"/>
        </w:rPr>
        <w:t>В соответствии со 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 ст. 14 Федерального закона от 06.10.2003 № 131-ФЗ «Об общих принципах организации местного самоуправления в Российской Федерации», частью 5 статьи 30 Федерального закона от 31.06.2020 № 248-ФЗ «О государственном контроле (надзоре</w:t>
      </w:r>
      <w:proofErr w:type="gramEnd"/>
      <w:r w:rsidRPr="00831E2F">
        <w:rPr>
          <w:sz w:val="26"/>
          <w:szCs w:val="26"/>
        </w:rPr>
        <w:t xml:space="preserve">) и муниципальном контроле в Российской Федерации», статьей 26 Устава муниципального образования муниципального «Печора», Совет муниципального района «Печора» </w:t>
      </w:r>
      <w:proofErr w:type="gramStart"/>
      <w:r w:rsidRPr="00831E2F">
        <w:rPr>
          <w:b/>
          <w:sz w:val="26"/>
          <w:szCs w:val="26"/>
        </w:rPr>
        <w:t>р</w:t>
      </w:r>
      <w:proofErr w:type="gramEnd"/>
      <w:r w:rsidRPr="00831E2F">
        <w:rPr>
          <w:b/>
          <w:sz w:val="26"/>
          <w:szCs w:val="26"/>
        </w:rPr>
        <w:t xml:space="preserve"> е ш и л:</w:t>
      </w:r>
    </w:p>
    <w:p w:rsidR="00831E2F" w:rsidRPr="00831E2F" w:rsidRDefault="00831E2F" w:rsidP="00831E2F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1E2F" w:rsidRPr="00831E2F" w:rsidRDefault="00831E2F" w:rsidP="00831E2F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1. Внести в решение Совета муниципального района «Печора»  от 22 декабря 2021 года № 7-14/163 «Об утверждении Положения о муниципальном контроле на автомобильном транспорте и в дорожном хозяйстве на территории сельских поселений, входящих в состав муниципального района «Печора» следующие изменения: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1.1. В Приложении к решению: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1.1.1. Подпункт 3.2.3. пункта 3.2. раздела 3 изложить в следующей редакции: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«3.2.3.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</w:t>
      </w:r>
      <w:proofErr w:type="gramStart"/>
      <w:r w:rsidRPr="00831E2F">
        <w:rPr>
          <w:sz w:val="26"/>
          <w:szCs w:val="26"/>
        </w:rPr>
        <w:t>.»;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proofErr w:type="gramEnd"/>
      <w:r w:rsidRPr="00831E2F">
        <w:rPr>
          <w:sz w:val="26"/>
          <w:szCs w:val="26"/>
        </w:rPr>
        <w:t>1.1.2.</w:t>
      </w:r>
      <w:r w:rsidRPr="00831E2F">
        <w:rPr>
          <w:sz w:val="26"/>
          <w:szCs w:val="26"/>
        </w:rPr>
        <w:tab/>
        <w:t>Подпункт 3.3.1. пункта 3.3. раздела 3 изложить в следующей редакции: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 xml:space="preserve">«3.3.1. Должностное лицо контрольного (надзорного) органа по обращениям контролируемых лиц и их представителей, </w:t>
      </w:r>
      <w:proofErr w:type="gramStart"/>
      <w:r w:rsidRPr="00831E2F">
        <w:rPr>
          <w:sz w:val="26"/>
          <w:szCs w:val="26"/>
        </w:rPr>
        <w:t>направленных</w:t>
      </w:r>
      <w:proofErr w:type="gramEnd"/>
      <w:r w:rsidRPr="00831E2F">
        <w:rPr>
          <w:sz w:val="26"/>
          <w:szCs w:val="26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 w:rsidRPr="00831E2F">
        <w:rPr>
          <w:sz w:val="26"/>
          <w:szCs w:val="26"/>
        </w:rPr>
        <w:lastRenderedPageBreak/>
        <w:t>государственного контроля (надзора), муниципального контроля). Консультирование осуществляется без взимания платы</w:t>
      </w:r>
      <w:proofErr w:type="gramStart"/>
      <w:r w:rsidRPr="00831E2F">
        <w:rPr>
          <w:sz w:val="26"/>
          <w:szCs w:val="26"/>
        </w:rPr>
        <w:t>.»;</w:t>
      </w:r>
      <w:proofErr w:type="gramEnd"/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1.1.3. Подпункт 3.3.2. пункта 3.3. раздела 3 изложить в следующей редакции: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«3.3.2.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831E2F">
        <w:rPr>
          <w:sz w:val="26"/>
          <w:szCs w:val="26"/>
        </w:rPr>
        <w:t>.»;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proofErr w:type="gramEnd"/>
      <w:r w:rsidRPr="00831E2F">
        <w:rPr>
          <w:sz w:val="26"/>
          <w:szCs w:val="26"/>
        </w:rPr>
        <w:t>1.1.4. Подпункт 3.4.3. пункта 3.4. раздела 3 изложить в следующей редакции: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 xml:space="preserve">«3.4.3.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831E2F">
        <w:rPr>
          <w:sz w:val="26"/>
          <w:szCs w:val="26"/>
        </w:rPr>
        <w:t>позднее</w:t>
      </w:r>
      <w:proofErr w:type="gramEnd"/>
      <w:r w:rsidRPr="00831E2F">
        <w:rPr>
          <w:sz w:val="26"/>
          <w:szCs w:val="26"/>
        </w:rPr>
        <w:t xml:space="preserve"> чем за двадцать четыре часа до его начала в порядке, предусмотренном частью 5 статьи 21 Федерального закона от 31 июня 2020 года № 248-ФЗ «О государственном контроле (надзоре) и муниципальном контроле в Российской Федерации»</w:t>
      </w:r>
      <w:proofErr w:type="gramStart"/>
      <w:r w:rsidRPr="00831E2F">
        <w:rPr>
          <w:sz w:val="26"/>
          <w:szCs w:val="26"/>
        </w:rPr>
        <w:t>.»</w:t>
      </w:r>
      <w:proofErr w:type="gramEnd"/>
      <w:r w:rsidRPr="00831E2F">
        <w:rPr>
          <w:sz w:val="26"/>
          <w:szCs w:val="26"/>
        </w:rPr>
        <w:t>;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1.1.5. Подпункт 4.5.1. пункта 4.5.  раздела 4 изложить в следующей редакции: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«4.5.1.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1.1.6. Подпункт 4.5.4. пункта 4.5. раздела 4 изложить в следующей редакции: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«4.5.4.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1) получение письменных объяснений;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2) истребование документов;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3) экспертиза</w:t>
      </w:r>
      <w:proofErr w:type="gramStart"/>
      <w:r w:rsidRPr="00831E2F">
        <w:rPr>
          <w:sz w:val="26"/>
          <w:szCs w:val="26"/>
        </w:rPr>
        <w:t>.»;</w:t>
      </w:r>
      <w:proofErr w:type="gramEnd"/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>1.1.7. Подпункт 4.6.6. пункта 4.6.  раздела 4 изложить в следующей редакции: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t xml:space="preserve">«4.6.6. </w:t>
      </w:r>
      <w:proofErr w:type="gramStart"/>
      <w:r w:rsidRPr="00831E2F">
        <w:rPr>
          <w:sz w:val="26"/>
          <w:szCs w:val="26"/>
        </w:rPr>
        <w:t>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</w:t>
      </w:r>
      <w:proofErr w:type="gramEnd"/>
      <w:r w:rsidRPr="00831E2F">
        <w:rPr>
          <w:sz w:val="26"/>
          <w:szCs w:val="26"/>
        </w:rPr>
        <w:t xml:space="preserve"> Российской Федерации» для малых предприятий, а в части проведения выездных проверок </w:t>
      </w:r>
      <w:proofErr w:type="spellStart"/>
      <w:r w:rsidRPr="00831E2F">
        <w:rPr>
          <w:sz w:val="26"/>
          <w:szCs w:val="26"/>
        </w:rPr>
        <w:t>микропредприятий</w:t>
      </w:r>
      <w:proofErr w:type="spellEnd"/>
      <w:r w:rsidRPr="00831E2F">
        <w:rPr>
          <w:sz w:val="26"/>
          <w:szCs w:val="26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831E2F">
        <w:rPr>
          <w:sz w:val="26"/>
          <w:szCs w:val="26"/>
        </w:rPr>
        <w:t>микропредприятий</w:t>
      </w:r>
      <w:proofErr w:type="spellEnd"/>
      <w:r w:rsidRPr="00831E2F">
        <w:rPr>
          <w:sz w:val="26"/>
          <w:szCs w:val="26"/>
        </w:rP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</w:t>
      </w:r>
      <w:proofErr w:type="gramStart"/>
      <w:r w:rsidRPr="00831E2F">
        <w:rPr>
          <w:sz w:val="26"/>
          <w:szCs w:val="26"/>
        </w:rPr>
        <w:t>.».</w:t>
      </w:r>
      <w:proofErr w:type="gramEnd"/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  <w:r w:rsidRPr="00831E2F">
        <w:rPr>
          <w:sz w:val="26"/>
          <w:szCs w:val="26"/>
        </w:rPr>
        <w:lastRenderedPageBreak/>
        <w:t>2. Настоящее решение вступает в силу со дня его официального опубликования.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</w:p>
    <w:p w:rsidR="000E0BD1" w:rsidRDefault="000E0BD1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Pr="00137E95" w:rsidRDefault="003A68FA" w:rsidP="003A68FA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61D2B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61D2B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831E2F">
        <w:rPr>
          <w:sz w:val="26"/>
          <w:szCs w:val="26"/>
        </w:rPr>
        <w:t>68</w:t>
      </w:r>
      <w:bookmarkStart w:id="0" w:name="_GoBack"/>
      <w:bookmarkEnd w:id="0"/>
    </w:p>
    <w:sectPr w:rsidR="006F3CA6" w:rsidRPr="00F05DC6" w:rsidSect="0083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68FA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31E2F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D2B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2026-02-13T11:15:00Z</cp:lastPrinted>
  <dcterms:created xsi:type="dcterms:W3CDTF">2026-04-30T09:47:00Z</dcterms:created>
  <dcterms:modified xsi:type="dcterms:W3CDTF">2026-04-30T09:47:00Z</dcterms:modified>
</cp:coreProperties>
</file>