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A9D" w:rsidRPr="00CA1990" w:rsidRDefault="005D0A9D" w:rsidP="005D0A9D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A1990">
        <w:rPr>
          <w:rFonts w:ascii="Times New Roman" w:hAnsi="Times New Roman" w:cs="Times New Roman"/>
          <w:sz w:val="26"/>
          <w:szCs w:val="26"/>
        </w:rPr>
        <w:t>Приложение</w:t>
      </w:r>
    </w:p>
    <w:p w:rsidR="005D0A9D" w:rsidRDefault="005D0A9D" w:rsidP="005D0A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5D0A9D" w:rsidRPr="00CA1990" w:rsidRDefault="005D0A9D" w:rsidP="005D0A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5D0A9D" w:rsidRPr="00CA1990" w:rsidRDefault="005D0A9D" w:rsidP="005D0A9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A1990">
        <w:rPr>
          <w:rFonts w:ascii="Times New Roman" w:hAnsi="Times New Roman" w:cs="Times New Roman"/>
          <w:sz w:val="26"/>
          <w:szCs w:val="26"/>
        </w:rPr>
        <w:t>от</w:t>
      </w:r>
      <w:r w:rsidRPr="005D0A9D">
        <w:rPr>
          <w:rFonts w:ascii="Times New Roman" w:hAnsi="Times New Roman" w:cs="Times New Roman"/>
          <w:sz w:val="26"/>
          <w:szCs w:val="26"/>
        </w:rPr>
        <w:t xml:space="preserve"> 14 декабря</w:t>
      </w:r>
      <w:r w:rsidRPr="005D0A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2015 года</w:t>
      </w:r>
      <w:r w:rsidRPr="00CA1990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6-4/40</w:t>
      </w:r>
    </w:p>
    <w:p w:rsidR="005D0A9D" w:rsidRDefault="005D0A9D" w:rsidP="005D0A9D">
      <w:pPr>
        <w:spacing w:line="270" w:lineRule="atLeast"/>
        <w:jc w:val="center"/>
        <w:rPr>
          <w:color w:val="000000"/>
          <w:sz w:val="26"/>
          <w:szCs w:val="26"/>
        </w:rPr>
      </w:pPr>
    </w:p>
    <w:p w:rsidR="005D0A9D" w:rsidRDefault="005D0A9D" w:rsidP="005D0A9D">
      <w:pPr>
        <w:spacing w:line="270" w:lineRule="atLeast"/>
        <w:jc w:val="center"/>
        <w:rPr>
          <w:color w:val="000000"/>
          <w:sz w:val="26"/>
          <w:szCs w:val="26"/>
        </w:rPr>
      </w:pPr>
    </w:p>
    <w:p w:rsidR="005D0A9D" w:rsidRDefault="005D0A9D" w:rsidP="005D0A9D">
      <w:pPr>
        <w:spacing w:line="270" w:lineRule="atLeast"/>
        <w:jc w:val="center"/>
        <w:rPr>
          <w:b/>
          <w:bCs/>
          <w:color w:val="000000"/>
          <w:sz w:val="26"/>
          <w:szCs w:val="26"/>
        </w:rPr>
      </w:pPr>
      <w:r w:rsidRPr="00CA1990">
        <w:rPr>
          <w:color w:val="000000"/>
          <w:sz w:val="26"/>
          <w:szCs w:val="26"/>
        </w:rPr>
        <w:t>   </w:t>
      </w:r>
      <w:r w:rsidRPr="005D0A9D">
        <w:rPr>
          <w:b/>
          <w:bCs/>
          <w:color w:val="000000"/>
          <w:sz w:val="26"/>
          <w:szCs w:val="26"/>
        </w:rPr>
        <w:t>Методика расчета ставки платы</w:t>
      </w:r>
      <w:r w:rsidRPr="005D0A9D">
        <w:rPr>
          <w:b/>
          <w:sz w:val="26"/>
          <w:szCs w:val="26"/>
        </w:rPr>
        <w:t xml:space="preserve"> </w:t>
      </w:r>
      <w:r w:rsidRPr="005D0A9D">
        <w:rPr>
          <w:b/>
          <w:bCs/>
          <w:color w:val="000000"/>
          <w:sz w:val="26"/>
          <w:szCs w:val="26"/>
        </w:rPr>
        <w:t xml:space="preserve">за пользование жилым помещением </w:t>
      </w:r>
    </w:p>
    <w:p w:rsidR="005D0A9D" w:rsidRPr="005D0A9D" w:rsidRDefault="005D0A9D" w:rsidP="005D0A9D">
      <w:pPr>
        <w:spacing w:line="270" w:lineRule="atLeast"/>
        <w:jc w:val="center"/>
        <w:rPr>
          <w:b/>
          <w:color w:val="000000"/>
          <w:sz w:val="26"/>
          <w:szCs w:val="26"/>
        </w:rPr>
      </w:pPr>
      <w:r w:rsidRPr="005D0A9D">
        <w:rPr>
          <w:b/>
          <w:bCs/>
          <w:color w:val="000000"/>
          <w:sz w:val="26"/>
          <w:szCs w:val="26"/>
        </w:rPr>
        <w:t>(платы за наем) государственного или муниципального жилищного фонда, находящегося на территории муниципального района «Печора»</w:t>
      </w:r>
    </w:p>
    <w:p w:rsidR="005D0A9D" w:rsidRDefault="005D0A9D" w:rsidP="005D0A9D">
      <w:pPr>
        <w:spacing w:line="270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   </w:t>
      </w:r>
    </w:p>
    <w:p w:rsidR="005D0A9D" w:rsidRDefault="005D0A9D" w:rsidP="005D0A9D">
      <w:pPr>
        <w:spacing w:line="270" w:lineRule="atLeast"/>
        <w:ind w:firstLine="720"/>
        <w:jc w:val="both"/>
        <w:rPr>
          <w:color w:val="000000"/>
          <w:sz w:val="26"/>
          <w:szCs w:val="26"/>
        </w:rPr>
      </w:pPr>
      <w:r w:rsidRPr="00CA1990">
        <w:rPr>
          <w:color w:val="000000"/>
          <w:sz w:val="26"/>
          <w:szCs w:val="26"/>
        </w:rPr>
        <w:t>Настоящая Методика расчета ставки п</w:t>
      </w:r>
      <w:r>
        <w:rPr>
          <w:color w:val="000000"/>
          <w:sz w:val="26"/>
          <w:szCs w:val="26"/>
        </w:rPr>
        <w:t xml:space="preserve">латы за наем жилого помещения в </w:t>
      </w:r>
      <w:r w:rsidRPr="00CA1990">
        <w:rPr>
          <w:color w:val="000000"/>
          <w:sz w:val="26"/>
          <w:szCs w:val="26"/>
        </w:rPr>
        <w:t>государственном или муниципальном жилищном фонде  муниципального района «Печора» (далее - Методика) разработана в соответствии с Методическими указаниями по расчету ставок платы за наем и отчислений на капитальный ремонт жилых помещений, включаемых в ставку платы за содержание и ремонт ж</w:t>
      </w:r>
      <w:r>
        <w:rPr>
          <w:color w:val="000000"/>
          <w:sz w:val="26"/>
          <w:szCs w:val="26"/>
        </w:rPr>
        <w:t>илья (техническое обслуживание),</w:t>
      </w:r>
      <w:r w:rsidRPr="00CA199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государственного или муниципального </w:t>
      </w:r>
      <w:r w:rsidRPr="00CA1990">
        <w:rPr>
          <w:color w:val="000000"/>
          <w:sz w:val="26"/>
          <w:szCs w:val="26"/>
        </w:rPr>
        <w:t xml:space="preserve"> жилищного фонда, утвержденными приказом Министерства строительства </w:t>
      </w:r>
      <w:r>
        <w:rPr>
          <w:color w:val="000000"/>
          <w:sz w:val="26"/>
          <w:szCs w:val="26"/>
        </w:rPr>
        <w:t xml:space="preserve">РФ </w:t>
      </w:r>
      <w:r w:rsidRPr="00CA1990">
        <w:rPr>
          <w:color w:val="000000"/>
          <w:sz w:val="26"/>
          <w:szCs w:val="26"/>
        </w:rPr>
        <w:t>от 02</w:t>
      </w:r>
      <w:r>
        <w:rPr>
          <w:color w:val="000000"/>
          <w:sz w:val="26"/>
          <w:szCs w:val="26"/>
        </w:rPr>
        <w:t>.12.1996 г. N17-152.</w:t>
      </w:r>
      <w:r>
        <w:rPr>
          <w:color w:val="000000"/>
          <w:sz w:val="26"/>
          <w:szCs w:val="26"/>
        </w:rPr>
        <w:br/>
        <w:t xml:space="preserve"> </w:t>
      </w:r>
      <w:r>
        <w:rPr>
          <w:color w:val="000000"/>
          <w:sz w:val="26"/>
          <w:szCs w:val="26"/>
        </w:rPr>
        <w:tab/>
        <w:t xml:space="preserve">Методика разработана для определения ставок платы за наем для нанимателей жилых помещений в государственном или муниципальном жилищном фонде на территории муниципального района «Печора».  </w:t>
      </w:r>
    </w:p>
    <w:p w:rsidR="005D0A9D" w:rsidRDefault="005D0A9D" w:rsidP="005D0A9D">
      <w:pPr>
        <w:spacing w:line="270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установления дифференцированной ставки платы  за наем жилых помещений к базовой ставке применяются коэффициенты:</w:t>
      </w:r>
    </w:p>
    <w:p w:rsidR="007945C0" w:rsidRDefault="005D0A9D" w:rsidP="005D0A9D">
      <w:pPr>
        <w:spacing w:line="270" w:lineRule="atLeast"/>
        <w:ind w:firstLine="720"/>
        <w:jc w:val="both"/>
        <w:rPr>
          <w:color w:val="000000"/>
          <w:sz w:val="26"/>
          <w:szCs w:val="26"/>
        </w:rPr>
      </w:pPr>
      <w:r w:rsidRPr="00CA1990">
        <w:rPr>
          <w:color w:val="000000"/>
          <w:sz w:val="26"/>
          <w:szCs w:val="26"/>
        </w:rPr>
        <w:t xml:space="preserve">- </w:t>
      </w:r>
      <w:r w:rsidR="007945C0">
        <w:rPr>
          <w:color w:val="000000"/>
          <w:sz w:val="26"/>
          <w:szCs w:val="26"/>
        </w:rPr>
        <w:t xml:space="preserve"> </w:t>
      </w:r>
      <w:r w:rsidRPr="00CA1990">
        <w:rPr>
          <w:color w:val="000000"/>
          <w:sz w:val="26"/>
          <w:szCs w:val="26"/>
        </w:rPr>
        <w:t xml:space="preserve">К1, учитывающий уровень благоустройства жилого помещения </w:t>
      </w:r>
    </w:p>
    <w:p w:rsidR="005D0A9D" w:rsidRDefault="005D0A9D" w:rsidP="005D0A9D">
      <w:pPr>
        <w:spacing w:line="270" w:lineRule="atLeast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r w:rsidR="007945C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К2, учитывающий месторасположения жилого помещения.</w:t>
      </w:r>
    </w:p>
    <w:p w:rsidR="005D0A9D" w:rsidRDefault="005D0A9D" w:rsidP="005D0A9D">
      <w:pPr>
        <w:spacing w:line="270" w:lineRule="atLeast"/>
        <w:ind w:left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Pr="00CA1990">
        <w:rPr>
          <w:color w:val="000000"/>
          <w:sz w:val="26"/>
          <w:szCs w:val="26"/>
        </w:rPr>
        <w:t>лат</w:t>
      </w:r>
      <w:r>
        <w:rPr>
          <w:color w:val="000000"/>
          <w:sz w:val="26"/>
          <w:szCs w:val="26"/>
        </w:rPr>
        <w:t>а</w:t>
      </w:r>
      <w:r w:rsidRPr="00CA1990">
        <w:rPr>
          <w:color w:val="000000"/>
          <w:sz w:val="26"/>
          <w:szCs w:val="26"/>
        </w:rPr>
        <w:t xml:space="preserve"> за наем жилых помещений (Н) рассчитывается по формуле:</w:t>
      </w:r>
    </w:p>
    <w:p w:rsidR="005D0A9D" w:rsidRPr="00CA1990" w:rsidRDefault="005D0A9D" w:rsidP="005D0A9D">
      <w:pPr>
        <w:spacing w:line="270" w:lineRule="atLeast"/>
        <w:ind w:left="720"/>
        <w:jc w:val="both"/>
        <w:rPr>
          <w:color w:val="000000"/>
          <w:sz w:val="26"/>
          <w:szCs w:val="26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</w:tblGrid>
      <w:tr w:rsidR="005D0A9D" w:rsidRPr="00C94DA4" w:rsidTr="006C7AFF">
        <w:tc>
          <w:tcPr>
            <w:tcW w:w="2507" w:type="dxa"/>
            <w:shd w:val="clear" w:color="auto" w:fill="auto"/>
          </w:tcPr>
          <w:p w:rsidR="005D0A9D" w:rsidRPr="00C94DA4" w:rsidRDefault="003278FF" w:rsidP="006C7AFF">
            <w:pPr>
              <w:spacing w:line="270" w:lineRule="atLeast"/>
              <w:jc w:val="both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Н = Нб х К1 х К2</w:t>
            </w:r>
            <w:r w:rsidR="005D0A9D" w:rsidRPr="00C94DA4">
              <w:rPr>
                <w:color w:val="000000"/>
                <w:sz w:val="26"/>
                <w:szCs w:val="26"/>
              </w:rPr>
              <w:t xml:space="preserve"> х</w:t>
            </w:r>
            <w:r w:rsidR="005D0A9D" w:rsidRPr="00C94DA4">
              <w:rPr>
                <w:color w:val="000000"/>
                <w:sz w:val="26"/>
                <w:szCs w:val="26"/>
                <w:lang w:val="en-US"/>
              </w:rPr>
              <w:t>S</w:t>
            </w:r>
          </w:p>
        </w:tc>
      </w:tr>
    </w:tbl>
    <w:p w:rsidR="005D0A9D" w:rsidRDefault="005D0A9D" w:rsidP="005D0A9D">
      <w:pPr>
        <w:spacing w:line="27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где,</w:t>
      </w:r>
    </w:p>
    <w:p w:rsidR="005D0A9D" w:rsidRDefault="005D0A9D" w:rsidP="005D0A9D">
      <w:pPr>
        <w:spacing w:line="27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 - плата за наем;</w:t>
      </w:r>
    </w:p>
    <w:p w:rsidR="005D0A9D" w:rsidRDefault="005D0A9D" w:rsidP="005D0A9D">
      <w:pPr>
        <w:spacing w:line="27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Нб - базовая ставка платы за наем 1 кв.м. общей площади жилого помещения;</w:t>
      </w:r>
    </w:p>
    <w:p w:rsidR="005D0A9D" w:rsidRDefault="005D0A9D" w:rsidP="005D0A9D">
      <w:pPr>
        <w:spacing w:line="27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en-US"/>
        </w:rPr>
        <w:t>S</w:t>
      </w:r>
      <w:r>
        <w:rPr>
          <w:color w:val="000000"/>
          <w:sz w:val="26"/>
          <w:szCs w:val="26"/>
        </w:rPr>
        <w:t xml:space="preserve"> – общая площадь жилого помещения (кв.м.).</w:t>
      </w:r>
    </w:p>
    <w:p w:rsidR="005D0A9D" w:rsidRPr="00CA1990" w:rsidRDefault="005D0A9D" w:rsidP="005D0A9D">
      <w:pPr>
        <w:spacing w:line="270" w:lineRule="atLeast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Доходы от платежей граждан за наем жилых помещений </w:t>
      </w:r>
      <w:r>
        <w:rPr>
          <w:bCs/>
          <w:color w:val="000000"/>
          <w:sz w:val="26"/>
          <w:szCs w:val="26"/>
        </w:rPr>
        <w:t>рассматриваются как один из источников финансовых средств на реновацию (полное восстановление) муниципального жилищного фонда.</w:t>
      </w:r>
      <w:r>
        <w:rPr>
          <w:color w:val="000000"/>
          <w:sz w:val="26"/>
          <w:szCs w:val="26"/>
        </w:rPr>
        <w:t xml:space="preserve"> Денежные средства, вносимы</w:t>
      </w:r>
      <w:r w:rsidR="00BA6FD5">
        <w:rPr>
          <w:color w:val="000000"/>
          <w:sz w:val="26"/>
          <w:szCs w:val="26"/>
        </w:rPr>
        <w:t xml:space="preserve">е нанимателем жилого помещения </w:t>
      </w:r>
      <w:bookmarkStart w:id="0" w:name="_GoBack"/>
      <w:bookmarkEnd w:id="0"/>
      <w:r>
        <w:rPr>
          <w:color w:val="000000"/>
          <w:sz w:val="26"/>
          <w:szCs w:val="26"/>
        </w:rPr>
        <w:t>в виде платы за наем поступают в бюджет муниципального района «Печора» и используются по целевому назначению  на проведение капитального ремонта, реконструкцию и модернизацию муниципального жилищного фонда.</w:t>
      </w:r>
    </w:p>
    <w:tbl>
      <w:tblPr>
        <w:tblW w:w="5000" w:type="pct"/>
        <w:shd w:val="clear" w:color="auto" w:fill="CCCC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7"/>
        <w:gridCol w:w="65"/>
        <w:gridCol w:w="6"/>
        <w:gridCol w:w="33"/>
        <w:gridCol w:w="33"/>
      </w:tblGrid>
      <w:tr w:rsidR="005D0A9D" w:rsidRPr="00CA1990" w:rsidTr="006C7AFF">
        <w:trPr>
          <w:trHeight w:val="287"/>
        </w:trPr>
        <w:tc>
          <w:tcPr>
            <w:tcW w:w="4937" w:type="pct"/>
            <w:shd w:val="clear" w:color="auto" w:fill="FFFFFF"/>
            <w:vAlign w:val="center"/>
            <w:hideMark/>
          </w:tcPr>
          <w:p w:rsidR="005D0A9D" w:rsidRPr="00CA1990" w:rsidRDefault="005D0A9D" w:rsidP="006C7AFF">
            <w:pPr>
              <w:spacing w:line="270" w:lineRule="atLeast"/>
              <w:rPr>
                <w:color w:val="000000"/>
                <w:sz w:val="26"/>
                <w:szCs w:val="26"/>
              </w:rPr>
            </w:pPr>
          </w:p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Коэффициенты</w:t>
            </w:r>
            <w:r w:rsidRPr="00CA1990">
              <w:rPr>
                <w:color w:val="000000"/>
                <w:sz w:val="26"/>
                <w:szCs w:val="26"/>
              </w:rPr>
              <w:t xml:space="preserve"> (К1)</w:t>
            </w:r>
            <w:r w:rsidRPr="00CA1990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>благоустроенности жилого помещения</w:t>
            </w:r>
          </w:p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5556"/>
              <w:gridCol w:w="3084"/>
            </w:tblGrid>
            <w:tr w:rsidR="005D0A9D" w:rsidRPr="00CA1990" w:rsidTr="006C7AFF">
              <w:tc>
                <w:tcPr>
                  <w:tcW w:w="562" w:type="dxa"/>
                  <w:shd w:val="clear" w:color="auto" w:fill="auto"/>
                </w:tcPr>
                <w:p w:rsidR="005D0A9D" w:rsidRPr="00377466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77466">
                    <w:rPr>
                      <w:color w:val="000000"/>
                      <w:sz w:val="26"/>
                      <w:szCs w:val="26"/>
                    </w:rPr>
                    <w:t>№ п/п</w:t>
                  </w:r>
                </w:p>
              </w:tc>
              <w:tc>
                <w:tcPr>
                  <w:tcW w:w="5801" w:type="dxa"/>
                  <w:shd w:val="clear" w:color="auto" w:fill="auto"/>
                </w:tcPr>
                <w:p w:rsidR="005D0A9D" w:rsidRPr="00377466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77466">
                    <w:rPr>
                      <w:color w:val="000000"/>
                      <w:sz w:val="26"/>
                      <w:szCs w:val="26"/>
                    </w:rPr>
                    <w:t>Категория жилого помещения</w:t>
                  </w:r>
                </w:p>
              </w:tc>
              <w:tc>
                <w:tcPr>
                  <w:tcW w:w="3182" w:type="dxa"/>
                  <w:shd w:val="clear" w:color="auto" w:fill="auto"/>
                </w:tcPr>
                <w:p w:rsidR="005D0A9D" w:rsidRPr="00377466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377466">
                    <w:rPr>
                      <w:color w:val="000000"/>
                      <w:sz w:val="26"/>
                      <w:szCs w:val="26"/>
                    </w:rPr>
                    <w:t>Значение коэффициента</w:t>
                  </w:r>
                </w:p>
              </w:tc>
            </w:tr>
            <w:tr w:rsidR="005D0A9D" w:rsidRPr="00CA1990" w:rsidTr="006C7AFF">
              <w:tc>
                <w:tcPr>
                  <w:tcW w:w="562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5801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 xml:space="preserve">Жилые дома, с </w:t>
                  </w:r>
                  <w:r w:rsidRPr="00CA1990">
                    <w:rPr>
                      <w:bCs/>
                      <w:color w:val="000000"/>
                      <w:sz w:val="26"/>
                      <w:szCs w:val="26"/>
                    </w:rPr>
                    <w:t> кирпичными, блочными, крупнопанельными стенами </w:t>
                  </w:r>
                  <w:r w:rsidRPr="00CA1990">
                    <w:rPr>
                      <w:color w:val="000000"/>
                      <w:sz w:val="26"/>
                      <w:szCs w:val="26"/>
                    </w:rPr>
                    <w:t>со всеми видами благоустройства</w:t>
                  </w:r>
                </w:p>
              </w:tc>
              <w:tc>
                <w:tcPr>
                  <w:tcW w:w="3182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</w:tr>
            <w:tr w:rsidR="005D0A9D" w:rsidRPr="00CA1990" w:rsidTr="006C7AFF">
              <w:tc>
                <w:tcPr>
                  <w:tcW w:w="562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lastRenderedPageBreak/>
                    <w:t>2</w:t>
                  </w:r>
                </w:p>
              </w:tc>
              <w:tc>
                <w:tcPr>
                  <w:tcW w:w="5801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 xml:space="preserve">Жилые дома, с </w:t>
                  </w:r>
                  <w:r w:rsidRPr="00CA1990">
                    <w:rPr>
                      <w:bCs/>
                      <w:color w:val="000000"/>
                      <w:sz w:val="26"/>
                      <w:szCs w:val="26"/>
                    </w:rPr>
                    <w:t> кирпичными, блочными, крупнопанельными стенами </w:t>
                  </w:r>
                  <w:r w:rsidRPr="00CA1990">
                    <w:rPr>
                      <w:color w:val="000000"/>
                      <w:sz w:val="26"/>
                      <w:szCs w:val="26"/>
                    </w:rPr>
                    <w:t>без одного и более вида благоустройства</w:t>
                  </w:r>
                </w:p>
              </w:tc>
              <w:tc>
                <w:tcPr>
                  <w:tcW w:w="3182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>1,0</w:t>
                  </w:r>
                </w:p>
              </w:tc>
            </w:tr>
            <w:tr w:rsidR="005D0A9D" w:rsidRPr="00CA1990" w:rsidTr="006C7AFF">
              <w:tc>
                <w:tcPr>
                  <w:tcW w:w="562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801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rPr>
                      <w:bCs/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>Жилые дома,</w:t>
                  </w:r>
                  <w:r w:rsidRPr="00CA1990">
                    <w:rPr>
                      <w:bCs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  <w:p w:rsidR="005D0A9D" w:rsidRPr="00CA1990" w:rsidRDefault="005D0A9D" w:rsidP="006C7AFF">
                  <w:pPr>
                    <w:spacing w:line="270" w:lineRule="atLeast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bCs/>
                      <w:color w:val="000000"/>
                      <w:sz w:val="26"/>
                      <w:szCs w:val="26"/>
                    </w:rPr>
                    <w:t>со стенами смешанными и деревянными иных видов благоустройства</w:t>
                  </w:r>
                </w:p>
              </w:tc>
              <w:tc>
                <w:tcPr>
                  <w:tcW w:w="3182" w:type="dxa"/>
                  <w:shd w:val="clear" w:color="auto" w:fill="auto"/>
                </w:tcPr>
                <w:p w:rsidR="005D0A9D" w:rsidRPr="00CA1990" w:rsidRDefault="005D0A9D" w:rsidP="006C7AFF">
                  <w:pPr>
                    <w:spacing w:line="270" w:lineRule="atLeast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CA1990">
                    <w:rPr>
                      <w:color w:val="000000"/>
                      <w:sz w:val="26"/>
                      <w:szCs w:val="26"/>
                    </w:rPr>
                    <w:t>0,7</w:t>
                  </w:r>
                </w:p>
              </w:tc>
            </w:tr>
          </w:tbl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3" w:type="pct"/>
            <w:gridSpan w:val="2"/>
            <w:shd w:val="clear" w:color="auto" w:fill="FFFFFF"/>
            <w:vAlign w:val="center"/>
            <w:hideMark/>
          </w:tcPr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D0A9D" w:rsidRPr="00CA1990" w:rsidTr="006C7AFF">
        <w:trPr>
          <w:trHeight w:val="1344"/>
        </w:trPr>
        <w:tc>
          <w:tcPr>
            <w:tcW w:w="493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0A9D" w:rsidRPr="00CA1990" w:rsidRDefault="005D0A9D" w:rsidP="006C7AFF">
            <w:pPr>
              <w:spacing w:line="270" w:lineRule="atLeast"/>
              <w:rPr>
                <w:color w:val="000000"/>
                <w:sz w:val="26"/>
                <w:szCs w:val="26"/>
              </w:rPr>
            </w:pPr>
          </w:p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Коэффициенты</w:t>
            </w:r>
            <w:r w:rsidRPr="00CA1990">
              <w:rPr>
                <w:color w:val="000000"/>
                <w:sz w:val="26"/>
                <w:szCs w:val="26"/>
              </w:rPr>
              <w:t xml:space="preserve"> (К2)</w:t>
            </w:r>
            <w:r w:rsidRPr="00CA1990">
              <w:rPr>
                <w:color w:val="000000"/>
                <w:sz w:val="26"/>
                <w:szCs w:val="26"/>
              </w:rPr>
              <w:br/>
            </w:r>
            <w:r>
              <w:rPr>
                <w:color w:val="000000"/>
                <w:sz w:val="26"/>
                <w:szCs w:val="26"/>
              </w:rPr>
              <w:t>месторасположения жилого помещения</w:t>
            </w:r>
          </w:p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  <w:tbl>
            <w:tblPr>
              <w:tblW w:w="0" w:type="auto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507"/>
              <w:gridCol w:w="6945"/>
              <w:gridCol w:w="1755"/>
            </w:tblGrid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 xml:space="preserve">N п/п 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 xml:space="preserve">Местонахождение жилого дома 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 xml:space="preserve">Значение коэффициента </w:t>
                  </w:r>
                </w:p>
              </w:tc>
            </w:tr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ул. Гагарина; ул. М.Булгаковой; ул. Советская; Печорский проспект; ул. Ленинградская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1,5</w:t>
                  </w:r>
                </w:p>
              </w:tc>
            </w:tr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ул. Ленина; ул. ул. Социалистическая; Н.Островского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1,4</w:t>
                  </w:r>
                </w:p>
              </w:tc>
            </w:tr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ул. 8 Марта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1,3</w:t>
                  </w:r>
                </w:p>
              </w:tc>
            </w:tr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ул. Московская; ул. Строительная; ул. Первомайская, ул. Пионерская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1,1</w:t>
                  </w:r>
                </w:p>
              </w:tc>
            </w:tr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улицы, не вошедшие в перечень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1,0</w:t>
                  </w:r>
                </w:p>
              </w:tc>
            </w:tr>
            <w:tr w:rsidR="005D0A9D" w:rsidRPr="00CA1990" w:rsidTr="006C7AFF"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для поселков городского типа</w:t>
                  </w:r>
                  <w:r>
                    <w:rPr>
                      <w:sz w:val="26"/>
                      <w:szCs w:val="26"/>
                    </w:rPr>
                    <w:t xml:space="preserve"> и сельских населенных пунктах</w:t>
                  </w:r>
                </w:p>
              </w:tc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A9D" w:rsidRPr="00CA1990" w:rsidRDefault="005D0A9D" w:rsidP="006C7AFF">
                  <w:pPr>
                    <w:autoSpaceDE w:val="0"/>
                    <w:autoSpaceDN w:val="0"/>
                    <w:adjustRightInd w:val="0"/>
                    <w:rPr>
                      <w:sz w:val="26"/>
                      <w:szCs w:val="26"/>
                    </w:rPr>
                  </w:pPr>
                  <w:r w:rsidRPr="00CA1990">
                    <w:rPr>
                      <w:sz w:val="26"/>
                      <w:szCs w:val="26"/>
                    </w:rPr>
                    <w:t>0,7</w:t>
                  </w:r>
                </w:p>
              </w:tc>
            </w:tr>
          </w:tbl>
          <w:p w:rsidR="005D0A9D" w:rsidRPr="00CA1990" w:rsidRDefault="005D0A9D" w:rsidP="006C7AFF">
            <w:pPr>
              <w:spacing w:line="270" w:lineRule="atLeast"/>
              <w:rPr>
                <w:color w:val="000000"/>
                <w:sz w:val="26"/>
                <w:szCs w:val="26"/>
              </w:rPr>
            </w:pPr>
          </w:p>
          <w:p w:rsidR="005D0A9D" w:rsidRPr="00CA1990" w:rsidRDefault="005D0A9D" w:rsidP="006C7AF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Примечания:</w:t>
            </w:r>
          </w:p>
          <w:p w:rsidR="005D0A9D" w:rsidRPr="00CA1990" w:rsidRDefault="005D0A9D" w:rsidP="006C7AF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1. Общая площадь жилого помещения состоит из суммы площадей всех частей такого помещения, включая площадь помещений вспомогательного использования, предназначенных для удовлетворения гражданами бытовых и иных нужд, связа</w:t>
            </w: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ных с их проживанием в жилом помещении, за исключением балконов, веранд, лоджий и террас (</w:t>
            </w:r>
            <w:hyperlink r:id="rId5" w:tooltip="&quot;Жилищный кодекс Российской Федерации&quot; от 29.12.2004 N 188-ФЗ (ред. от 02.07.2013){КонсультантПлюс}" w:history="1">
              <w:r w:rsidRPr="005D0A9D"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п. 5 ст. 15</w:t>
              </w:r>
            </w:hyperlink>
            <w:r w:rsidRPr="005D0A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Жилищного кодекса РФ).</w:t>
            </w:r>
          </w:p>
          <w:p w:rsidR="005D0A9D" w:rsidRPr="00CA1990" w:rsidRDefault="005D0A9D" w:rsidP="006C7AF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6"/>
                <w:szCs w:val="26"/>
              </w:rPr>
            </w:pPr>
            <w:r w:rsidRPr="00CA1990">
              <w:rPr>
                <w:sz w:val="26"/>
                <w:szCs w:val="26"/>
              </w:rPr>
              <w:t xml:space="preserve">2. </w:t>
            </w:r>
            <w:r w:rsidRPr="00CA1990">
              <w:rPr>
                <w:color w:val="000000"/>
                <w:sz w:val="26"/>
                <w:szCs w:val="26"/>
              </w:rPr>
              <w:t>Размер платы за пол</w:t>
            </w:r>
            <w:r>
              <w:rPr>
                <w:color w:val="000000"/>
                <w:sz w:val="26"/>
                <w:szCs w:val="26"/>
              </w:rPr>
              <w:t>ьзование жилым помещением (платы</w:t>
            </w:r>
            <w:r w:rsidRPr="00CA1990">
              <w:rPr>
                <w:color w:val="000000"/>
                <w:sz w:val="26"/>
                <w:szCs w:val="26"/>
              </w:rPr>
              <w:t xml:space="preserve"> за наем) для нанимателей жилых помещений определяется исходя из занимаемой общей площади жилого помещения.</w:t>
            </w:r>
          </w:p>
          <w:p w:rsidR="005D0A9D" w:rsidRPr="00CA1990" w:rsidRDefault="005D0A9D" w:rsidP="006C7AF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6"/>
                <w:szCs w:val="26"/>
              </w:rPr>
            </w:pPr>
            <w:r w:rsidRPr="00CA1990">
              <w:rPr>
                <w:color w:val="000000"/>
                <w:sz w:val="26"/>
                <w:szCs w:val="26"/>
              </w:rPr>
              <w:t>3.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CA1990">
              <w:rPr>
                <w:color w:val="000000"/>
                <w:sz w:val="26"/>
                <w:szCs w:val="26"/>
              </w:rPr>
              <w:t>Размер платы за пол</w:t>
            </w:r>
            <w:r>
              <w:rPr>
                <w:color w:val="000000"/>
                <w:sz w:val="26"/>
                <w:szCs w:val="26"/>
              </w:rPr>
              <w:t>ьзование жилым помещением (платы</w:t>
            </w:r>
            <w:r w:rsidRPr="00CA1990">
              <w:rPr>
                <w:color w:val="000000"/>
                <w:sz w:val="26"/>
                <w:szCs w:val="26"/>
              </w:rPr>
              <w:t xml:space="preserve"> за наем)  устанавливается в зависимости от качества и благоустройства жилого помещения, месторасположения дома.</w:t>
            </w:r>
          </w:p>
          <w:p w:rsidR="005D0A9D" w:rsidRPr="00CA1990" w:rsidRDefault="005D0A9D" w:rsidP="006C7AFF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CA1990">
              <w:rPr>
                <w:color w:val="000000"/>
                <w:sz w:val="26"/>
                <w:szCs w:val="26"/>
              </w:rPr>
              <w:t>. Плата за услуги по предоставлению в пользование жилых помещений налогом на добавленную стоимость не облагается.</w:t>
            </w:r>
          </w:p>
          <w:p w:rsidR="005D0A9D" w:rsidRPr="00CA1990" w:rsidRDefault="005D0A9D" w:rsidP="006C7AF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. Плата за наем жилья не взимается в жилых помещениях, принадлежащих гражд</w:t>
            </w: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A1990">
              <w:rPr>
                <w:rFonts w:ascii="Times New Roman" w:hAnsi="Times New Roman" w:cs="Times New Roman"/>
                <w:sz w:val="26"/>
                <w:szCs w:val="26"/>
              </w:rPr>
              <w:t>нам на праве собственности (включая приватизированное жилье).</w:t>
            </w:r>
          </w:p>
          <w:p w:rsidR="005D0A9D" w:rsidRPr="00CA1990" w:rsidRDefault="005D0A9D" w:rsidP="006C7AF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D0A9D" w:rsidRPr="00CA1990" w:rsidRDefault="005D0A9D" w:rsidP="006C7AFF">
            <w:pPr>
              <w:spacing w:line="270" w:lineRule="atLeast"/>
              <w:rPr>
                <w:color w:val="000000"/>
                <w:sz w:val="26"/>
                <w:szCs w:val="26"/>
              </w:rPr>
            </w:pPr>
          </w:p>
        </w:tc>
        <w:tc>
          <w:tcPr>
            <w:tcW w:w="30" w:type="pct"/>
            <w:shd w:val="clear" w:color="auto" w:fill="FFFFFF"/>
            <w:vAlign w:val="center"/>
            <w:hideMark/>
          </w:tcPr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  <w:r w:rsidRPr="00CA199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5D0A9D" w:rsidRPr="00CA1990" w:rsidRDefault="005D0A9D" w:rsidP="006C7AFF">
            <w:pPr>
              <w:spacing w:line="270" w:lineRule="atLeast"/>
              <w:jc w:val="center"/>
              <w:rPr>
                <w:color w:val="000000"/>
                <w:sz w:val="26"/>
                <w:szCs w:val="26"/>
              </w:rPr>
            </w:pPr>
            <w:r w:rsidRPr="00CA1990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DD363E" w:rsidRDefault="00DD363E"/>
    <w:sectPr w:rsidR="00DD363E" w:rsidSect="007945C0">
      <w:pgSz w:w="11906" w:h="16838"/>
      <w:pgMar w:top="993" w:right="85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9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78FF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0A9D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45C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FD5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A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5D0A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6F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F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A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5D0A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A6F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6F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477AFAA9EBA54F17AA6C4A2587609B61B1D65CC9E0A9B93112DE701237A3DF27593D6325D9AF863t4H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2015-12-15T10:54:00Z</cp:lastPrinted>
  <dcterms:created xsi:type="dcterms:W3CDTF">2015-12-15T10:04:00Z</dcterms:created>
  <dcterms:modified xsi:type="dcterms:W3CDTF">2015-12-15T10:54:00Z</dcterms:modified>
</cp:coreProperties>
</file>