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3A" w:rsidRDefault="00BE363A" w:rsidP="00BE363A">
      <w:pPr>
        <w:pStyle w:val="a8"/>
        <w:jc w:val="right"/>
      </w:pPr>
      <w:r>
        <w:t xml:space="preserve">Приложение </w:t>
      </w:r>
      <w:r>
        <w:t>4</w:t>
      </w:r>
      <w:r>
        <w:t xml:space="preserve"> </w:t>
      </w:r>
    </w:p>
    <w:p w:rsidR="00BE363A" w:rsidRDefault="00BE363A" w:rsidP="00BE363A">
      <w:pPr>
        <w:pStyle w:val="a8"/>
        <w:jc w:val="right"/>
      </w:pPr>
      <w:r>
        <w:t xml:space="preserve">к изменениям, вносимым </w:t>
      </w:r>
    </w:p>
    <w:p w:rsidR="00BE363A" w:rsidRDefault="00BE363A" w:rsidP="00BE363A">
      <w:pPr>
        <w:pStyle w:val="a8"/>
        <w:jc w:val="right"/>
      </w:pPr>
      <w:r>
        <w:t xml:space="preserve">в постановление администрации МР </w:t>
      </w:r>
    </w:p>
    <w:p w:rsidR="00BE363A" w:rsidRDefault="00BE363A" w:rsidP="00BE363A">
      <w:pPr>
        <w:pStyle w:val="a8"/>
        <w:jc w:val="right"/>
      </w:pPr>
      <w:r>
        <w:t>«Печора» от 24.12.2013г. № 2515</w:t>
      </w:r>
    </w:p>
    <w:p w:rsidR="00BE363A" w:rsidRDefault="00BE363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840EA" w:rsidRPr="0093297C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caps/>
          <w:sz w:val="26"/>
          <w:szCs w:val="26"/>
          <w:lang w:eastAsia="ru-RU"/>
        </w:rPr>
      </w:pPr>
      <w:r w:rsidRPr="0093297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Pr="0093297C">
        <w:rPr>
          <w:rFonts w:ascii="Times New Roman" w:eastAsia="Batang" w:hAnsi="Times New Roman" w:cs="Times New Roman"/>
          <w:caps/>
          <w:sz w:val="26"/>
          <w:szCs w:val="26"/>
          <w:lang w:eastAsia="ru-RU"/>
        </w:rPr>
        <w:t>4</w:t>
      </w:r>
    </w:p>
    <w:p w:rsidR="002840EA" w:rsidRPr="002840EA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F90933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F90933">
        <w:rPr>
          <w:rFonts w:ascii="Times New Roman" w:eastAsia="Batang" w:hAnsi="Times New Roman" w:cs="Times New Roman"/>
          <w:sz w:val="26"/>
          <w:szCs w:val="26"/>
          <w:lang w:eastAsia="ru-RU"/>
        </w:rPr>
        <w:t>Жилье, жилищно-коммунальное хозяйство</w:t>
      </w:r>
    </w:p>
    <w:p w:rsidR="002840EA" w:rsidRPr="002840EA" w:rsidRDefault="00F90933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 территориальное развитие</w:t>
      </w:r>
      <w:r w:rsidR="002840EA"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2840EA" w:rsidRDefault="002840EA" w:rsidP="002840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6D2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коммунальной инфраструктуры / общая протяженность сетей, нуждающихся в замене 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реализованных инвестиционных проектов по обеспечению новых земельных участков инженерной инфраструктурой,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инфраструктурой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общее количество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планируемых к реализации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инвестиционных проектов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архитектуры и градостроительства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F4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запланированное количеств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о переселяемых граждан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B17F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0657EB" w:rsidRPr="000657EB" w:rsidTr="00492B0C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Транспортная подвижность населения, (</w:t>
            </w:r>
            <w:r w:rsidR="00F46445">
              <w:rPr>
                <w:rFonts w:ascii="Times New Roman" w:eastAsia="Batang" w:hAnsi="Times New Roman" w:cs="Times New Roman"/>
                <w:lang w:eastAsia="ru-RU"/>
              </w:rPr>
              <w:t>в процентах к предыдущему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492B0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00" w:rsidRPr="000657EB" w:rsidRDefault="00492B0C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Объем перевозок пассажиров в предыдущем году отчетного года/среднегодовая численность населения в году 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>предыдущем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отчетно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му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 год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)/(Объем перевозок пассажиров в отчетном году/среднегодовая численность населения в отчетном году)*100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57EB" w:rsidRPr="00B64BE9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  <w:r w:rsidR="001C681F" w:rsidRPr="00B64BE9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748B5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Н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ачислено платежей населению за </w:t>
            </w:r>
            <w:r>
              <w:rPr>
                <w:rFonts w:ascii="Times New Roman" w:eastAsia="Batang" w:hAnsi="Times New Roman" w:cs="Times New Roman"/>
                <w:lang w:eastAsia="ru-RU"/>
              </w:rPr>
              <w:t>жилищно-коммунальные услуги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>/ Оплачено</w:t>
            </w:r>
            <w:proofErr w:type="gramEnd"/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 населением за ЖКУ * 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B64BE9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ED68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(используемой)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(используемой) на территории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</w:t>
            </w:r>
            <w:r w:rsidR="00DC4BAD"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43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02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0657EB" w:rsidRPr="000657EB" w:rsidTr="0022056F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0657EB" w:rsidRPr="000657EB" w:rsidTr="0022056F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теплоснабжения/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многоквартирных домов, в которых выполнены работы по 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снесенных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Комитет</w:t>
            </w:r>
            <w:r w:rsidR="00EF271C">
              <w:rPr>
                <w:rFonts w:ascii="Times New Roman" w:eastAsia="Batang" w:hAnsi="Times New Roman" w:cs="Times New Roman"/>
                <w:lang w:eastAsia="ru-RU"/>
              </w:rPr>
              <w:t>а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по управлению муниципальной собственностью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Комитета по управлению</w:t>
            </w:r>
            <w:r w:rsidR="00AA7638">
              <w:rPr>
                <w:rFonts w:ascii="Times New Roman" w:eastAsia="Batang" w:hAnsi="Times New Roman" w:cs="Times New Roman"/>
                <w:lang w:eastAsia="ru-RU"/>
              </w:rPr>
              <w:t xml:space="preserve"> муниципальной собственностью МР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«Печора»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882127" w:rsidRDefault="00882127" w:rsidP="008821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127">
              <w:rPr>
                <w:rFonts w:ascii="Times New Roman" w:hAnsi="Times New Roman" w:cs="Times New Roman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EF271C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  <w:r w:rsidR="00D4226E">
              <w:rPr>
                <w:rFonts w:ascii="Times New Roman" w:eastAsia="Batang" w:hAnsi="Times New Roman" w:cs="Times New Roman"/>
                <w:lang w:eastAsia="ru-RU"/>
              </w:rPr>
              <w:t>,</w:t>
            </w:r>
          </w:p>
          <w:p w:rsidR="00D4226E" w:rsidRDefault="00D4226E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ГП «Кожва»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Количество </w:t>
            </w:r>
            <w:r w:rsidRPr="00882127">
              <w:rPr>
                <w:rFonts w:ascii="Times New Roman" w:hAnsi="Times New Roman" w:cs="Times New Roman"/>
              </w:rPr>
              <w:t>разработанных проектов планировки и проектов межевания территории в целях развития газификации</w:t>
            </w:r>
            <w:r>
              <w:rPr>
                <w:rFonts w:ascii="Times New Roman" w:hAnsi="Times New Roman" w:cs="Times New Roman"/>
              </w:rPr>
              <w:t xml:space="preserve">/количество запланированных к разработке проектов </w:t>
            </w:r>
            <w:r w:rsidRPr="00882127">
              <w:rPr>
                <w:rFonts w:ascii="Times New Roman" w:hAnsi="Times New Roman" w:cs="Times New Roman"/>
              </w:rPr>
              <w:t>планировки и проектов межевания территории</w:t>
            </w:r>
            <w:r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МКУ «УКС»</w:t>
            </w:r>
          </w:p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ГП «Кожва»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EF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  <w:p w:rsidR="00882127" w:rsidRPr="00515EFF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администрации СП «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Каджером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 СП «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Каджером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»</w:t>
            </w:r>
          </w:p>
        </w:tc>
      </w:tr>
      <w:tr w:rsidR="00882127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624B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2 «Комплексное освоение и развитие территорий в целях жилищного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57EB">
              <w:rPr>
                <w:rFonts w:ascii="Times New Roman" w:hAnsi="Times New Roman" w:cs="Times New Roman"/>
              </w:rPr>
              <w:t>строительства на территории МО МР «Печора»</w:t>
            </w:r>
          </w:p>
        </w:tc>
      </w:tr>
      <w:tr w:rsidR="00882127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C4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306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в целях нового строительства/ общее количество земельных участков предполагаемых к застройке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Комитета по управлению муниципальной собственностью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454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882127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2. Расселение аварийного жилищного фонда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расселенных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управления жилым фондом администрации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5D5F29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Подпрограмма 3 «Дорожное хозяйство и транспорт МО МР «Печора»</w:t>
            </w:r>
          </w:p>
        </w:tc>
      </w:tr>
      <w:tr w:rsidR="00882127" w:rsidRPr="000657EB" w:rsidTr="005D5F29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«Содействие развитию надежной транспортной инфраструктуры»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1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автомобильных дорог общего пользования местного значения, отвечающих нормативным требованиям / протяженность автомобильных дорог в муниципальном районе*100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4 «Повышение собираемости сре</w:t>
            </w:r>
            <w:proofErr w:type="gramStart"/>
            <w:r w:rsidRPr="000657EB">
              <w:rPr>
                <w:rFonts w:ascii="Times New Roman" w:hAnsi="Times New Roman" w:cs="Times New Roman"/>
              </w:rPr>
              <w:t>дств с п</w:t>
            </w:r>
            <w:proofErr w:type="gramEnd"/>
            <w:r w:rsidRPr="000657EB">
              <w:rPr>
                <w:rFonts w:ascii="Times New Roman" w:hAnsi="Times New Roman" w:cs="Times New Roman"/>
              </w:rPr>
              <w:t>отребителей (население)  за жилищно-коммунальные услуги МО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задолженности населения за 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7E7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Удельный расход ТЭ на снабжение органов местного самоуправления 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Информация отдела жилищно-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тепловой энергии в органах местного самоуправления и муниципальных 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lastRenderedPageBreak/>
              <w:t>учреждениях</w:t>
            </w:r>
            <w:r>
              <w:rPr>
                <w:rFonts w:ascii="Times New Roman" w:eastAsia="Batang" w:hAnsi="Times New Roman" w:cs="Times New Roman"/>
                <w:lang w:eastAsia="ru-RU"/>
              </w:rPr>
              <w:t>, Гкал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холодной воды в органах местного самоуправлен</w:t>
            </w:r>
            <w:r>
              <w:rPr>
                <w:rFonts w:ascii="Times New Roman" w:eastAsia="Batang" w:hAnsi="Times New Roman" w:cs="Times New Roman"/>
                <w:lang w:eastAsia="ru-RU"/>
              </w:rPr>
              <w:t>ия и муниципальных учреждениях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тепловой энергии в многоквартирных домах, расположенных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холодной воды в многоквартирных домах, расположенных на территории муниципального образования,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 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горячей воды в многоквартирных домах, расположенных на территории муниципального образования, куб.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м./ 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(использования) электрической энергии в многоквартирных домах, расположенных на территории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муниципального образования, </w:t>
            </w:r>
            <w:proofErr w:type="spellStart"/>
            <w:r w:rsidRPr="00E926C6">
              <w:rPr>
                <w:rFonts w:ascii="Times New Roman" w:eastAsia="Batang" w:hAnsi="Times New Roman" w:cs="Times New Roman"/>
                <w:lang w:eastAsia="ru-RU"/>
              </w:rPr>
              <w:t>кВт·ч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. /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жилищно-коммунального хозяйства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84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льного образования, тыс. куб. м /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бъем природного газа, потребляемого (используемого) в многоквартирных домах с иными системами теплоснабжения, расположенны</w:t>
            </w:r>
            <w:r>
              <w:rPr>
                <w:rFonts w:ascii="Times New Roman" w:eastAsia="Batang" w:hAnsi="Times New Roman" w:cs="Times New Roman"/>
                <w:lang w:eastAsia="ru-RU"/>
              </w:rPr>
              <w:t>х на территории муниципального 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бразования, тыс.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>./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CF791E">
              <w:rPr>
                <w:rFonts w:ascii="Times New Roman" w:eastAsia="Batang" w:hAnsi="Times New Roman" w:cs="Times New Roman"/>
                <w:lang w:eastAsia="ru-RU"/>
              </w:rPr>
              <w:t>у.т</w:t>
            </w:r>
            <w:proofErr w:type="spellEnd"/>
            <w:r w:rsidRPr="00CF791E">
              <w:rPr>
                <w:rFonts w:ascii="Times New Roman" w:eastAsia="Batang" w:hAnsi="Times New Roman" w:cs="Times New Roman"/>
                <w:lang w:eastAsia="ru-RU"/>
              </w:rPr>
              <w:t>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/ 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бъем потерь тепловой энергии при ее передаче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 общий объем передаваемой тепловой энергии на территории муниципального образования, Гкал.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общая площадь уличного освещения территории муниципального образования на конец года,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</w:tbl>
    <w:p w:rsidR="00A675AE" w:rsidRPr="003E5883" w:rsidRDefault="00F90933" w:rsidP="005906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64D76"/>
    <w:rsid w:val="000657EB"/>
    <w:rsid w:val="000748B5"/>
    <w:rsid w:val="0008119E"/>
    <w:rsid w:val="00081C7A"/>
    <w:rsid w:val="00084853"/>
    <w:rsid w:val="0009405E"/>
    <w:rsid w:val="000D33D2"/>
    <w:rsid w:val="000E70A0"/>
    <w:rsid w:val="000F71A8"/>
    <w:rsid w:val="00124323"/>
    <w:rsid w:val="00177DCF"/>
    <w:rsid w:val="00190FE1"/>
    <w:rsid w:val="001A249A"/>
    <w:rsid w:val="001A5495"/>
    <w:rsid w:val="001B5C3A"/>
    <w:rsid w:val="001B7BC1"/>
    <w:rsid w:val="001C681F"/>
    <w:rsid w:val="001F29F3"/>
    <w:rsid w:val="001F2FF0"/>
    <w:rsid w:val="001F3CC0"/>
    <w:rsid w:val="00201CD9"/>
    <w:rsid w:val="00207325"/>
    <w:rsid w:val="00215B7B"/>
    <w:rsid w:val="0022056F"/>
    <w:rsid w:val="00266E4F"/>
    <w:rsid w:val="002806CB"/>
    <w:rsid w:val="002840EA"/>
    <w:rsid w:val="002906E3"/>
    <w:rsid w:val="00294B36"/>
    <w:rsid w:val="002A41AC"/>
    <w:rsid w:val="002D1893"/>
    <w:rsid w:val="002E3214"/>
    <w:rsid w:val="00303527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421772"/>
    <w:rsid w:val="00440AFF"/>
    <w:rsid w:val="004434EE"/>
    <w:rsid w:val="004458D9"/>
    <w:rsid w:val="0045789C"/>
    <w:rsid w:val="0048158B"/>
    <w:rsid w:val="00492B0C"/>
    <w:rsid w:val="00497A6C"/>
    <w:rsid w:val="004A4756"/>
    <w:rsid w:val="004E34F6"/>
    <w:rsid w:val="004F4F71"/>
    <w:rsid w:val="00515EFF"/>
    <w:rsid w:val="00517272"/>
    <w:rsid w:val="005652BA"/>
    <w:rsid w:val="00590614"/>
    <w:rsid w:val="005A5DB0"/>
    <w:rsid w:val="005D5F29"/>
    <w:rsid w:val="00604B56"/>
    <w:rsid w:val="00623625"/>
    <w:rsid w:val="00645DDE"/>
    <w:rsid w:val="0065201B"/>
    <w:rsid w:val="006848B9"/>
    <w:rsid w:val="006861D3"/>
    <w:rsid w:val="006A1A45"/>
    <w:rsid w:val="006C10A7"/>
    <w:rsid w:val="006C2B34"/>
    <w:rsid w:val="006C7FA2"/>
    <w:rsid w:val="006D0467"/>
    <w:rsid w:val="006D21C7"/>
    <w:rsid w:val="007353EF"/>
    <w:rsid w:val="007633E9"/>
    <w:rsid w:val="007B20BB"/>
    <w:rsid w:val="007B3AED"/>
    <w:rsid w:val="007C1E19"/>
    <w:rsid w:val="007D0893"/>
    <w:rsid w:val="007D480E"/>
    <w:rsid w:val="007E7D10"/>
    <w:rsid w:val="007F610D"/>
    <w:rsid w:val="00811DAB"/>
    <w:rsid w:val="008136EE"/>
    <w:rsid w:val="008624B7"/>
    <w:rsid w:val="008657B5"/>
    <w:rsid w:val="008767C4"/>
    <w:rsid w:val="00882127"/>
    <w:rsid w:val="00882B6D"/>
    <w:rsid w:val="008C1A43"/>
    <w:rsid w:val="008C2761"/>
    <w:rsid w:val="008D4916"/>
    <w:rsid w:val="008D6DDE"/>
    <w:rsid w:val="008E4B5F"/>
    <w:rsid w:val="008F2622"/>
    <w:rsid w:val="008F2CA6"/>
    <w:rsid w:val="00900233"/>
    <w:rsid w:val="0093297C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A7638"/>
    <w:rsid w:val="00AB2335"/>
    <w:rsid w:val="00AB5943"/>
    <w:rsid w:val="00AC2CD5"/>
    <w:rsid w:val="00B01356"/>
    <w:rsid w:val="00B155D2"/>
    <w:rsid w:val="00B17DB6"/>
    <w:rsid w:val="00B17FC1"/>
    <w:rsid w:val="00B22063"/>
    <w:rsid w:val="00B42C41"/>
    <w:rsid w:val="00B47641"/>
    <w:rsid w:val="00B55DF4"/>
    <w:rsid w:val="00B60B9F"/>
    <w:rsid w:val="00B64BE9"/>
    <w:rsid w:val="00B76100"/>
    <w:rsid w:val="00B87711"/>
    <w:rsid w:val="00B901E2"/>
    <w:rsid w:val="00BA749F"/>
    <w:rsid w:val="00BB195A"/>
    <w:rsid w:val="00BE363A"/>
    <w:rsid w:val="00BF5DB8"/>
    <w:rsid w:val="00C00513"/>
    <w:rsid w:val="00C103B5"/>
    <w:rsid w:val="00C12B9B"/>
    <w:rsid w:val="00C215FF"/>
    <w:rsid w:val="00C21C0D"/>
    <w:rsid w:val="00C304A4"/>
    <w:rsid w:val="00C454C8"/>
    <w:rsid w:val="00C540BE"/>
    <w:rsid w:val="00C61370"/>
    <w:rsid w:val="00C709CA"/>
    <w:rsid w:val="00C85B8E"/>
    <w:rsid w:val="00C96DC6"/>
    <w:rsid w:val="00CC2451"/>
    <w:rsid w:val="00CC7B42"/>
    <w:rsid w:val="00CF791E"/>
    <w:rsid w:val="00D02600"/>
    <w:rsid w:val="00D1751A"/>
    <w:rsid w:val="00D4226E"/>
    <w:rsid w:val="00D531D5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D244A"/>
    <w:rsid w:val="00ED6859"/>
    <w:rsid w:val="00EF271C"/>
    <w:rsid w:val="00F32451"/>
    <w:rsid w:val="00F46445"/>
    <w:rsid w:val="00F47314"/>
    <w:rsid w:val="00F71014"/>
    <w:rsid w:val="00F90933"/>
    <w:rsid w:val="00FE0301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3122-1FF5-4B55-BAA2-B03A7DAE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9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51</cp:revision>
  <cp:lastPrinted>2016-12-28T15:13:00Z</cp:lastPrinted>
  <dcterms:created xsi:type="dcterms:W3CDTF">2016-11-10T06:04:00Z</dcterms:created>
  <dcterms:modified xsi:type="dcterms:W3CDTF">2017-05-04T08:15:00Z</dcterms:modified>
</cp:coreProperties>
</file>