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C4" w:rsidRPr="003A77E1" w:rsidRDefault="003A77E1" w:rsidP="0074505A">
      <w:pPr>
        <w:spacing w:after="0" w:line="240" w:lineRule="auto"/>
        <w:jc w:val="center"/>
        <w:rPr>
          <w:rFonts w:ascii="Times New Roman" w:hAnsi="Times New Roman" w:cs="Times New Roman"/>
          <w:sz w:val="34"/>
          <w:szCs w:val="34"/>
        </w:rPr>
      </w:pPr>
      <w:r w:rsidRPr="003A77E1">
        <w:rPr>
          <w:rFonts w:ascii="Times New Roman" w:hAnsi="Times New Roman" w:cs="Times New Roman"/>
          <w:sz w:val="34"/>
          <w:szCs w:val="34"/>
        </w:rPr>
        <w:t>Специальная оценка условий труда – вопросы и проблемы</w:t>
      </w:r>
      <w:r w:rsidR="000B43C4" w:rsidRPr="003A77E1">
        <w:rPr>
          <w:rFonts w:ascii="Times New Roman" w:hAnsi="Times New Roman" w:cs="Times New Roman"/>
          <w:sz w:val="34"/>
          <w:szCs w:val="34"/>
        </w:rPr>
        <w:t>.</w:t>
      </w:r>
    </w:p>
    <w:p w:rsidR="000B43C4" w:rsidRDefault="000B43C4" w:rsidP="000C3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BFF" w:rsidRPr="0074505A" w:rsidRDefault="00171BFF" w:rsidP="000C3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5A">
        <w:rPr>
          <w:rFonts w:ascii="Times New Roman" w:hAnsi="Times New Roman" w:cs="Times New Roman"/>
          <w:sz w:val="28"/>
          <w:szCs w:val="28"/>
        </w:rPr>
        <w:t>Статьей 37 Конституции РФ закреплено право каждого работника на труд в условиях, отвечающих требованиям безопасности и гигиены. Для обеспечения данного права, в соответствии с Федеральным законом «О специальной оценке условий труда» от 28 декабря 2013 г. №426-ФЗ</w:t>
      </w:r>
      <w:r w:rsidR="007069DA" w:rsidRPr="0074505A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№426-ФЗ</w:t>
      </w:r>
      <w:r w:rsidR="000236AB" w:rsidRPr="0074505A">
        <w:rPr>
          <w:rFonts w:ascii="Times New Roman" w:hAnsi="Times New Roman" w:cs="Times New Roman"/>
          <w:sz w:val="28"/>
          <w:szCs w:val="28"/>
        </w:rPr>
        <w:t>)</w:t>
      </w:r>
      <w:r w:rsidRPr="0074505A">
        <w:rPr>
          <w:rFonts w:ascii="Times New Roman" w:hAnsi="Times New Roman" w:cs="Times New Roman"/>
          <w:sz w:val="28"/>
          <w:szCs w:val="28"/>
        </w:rPr>
        <w:t>, проводится специальная оценка условий труда, которая заменила</w:t>
      </w:r>
      <w:r w:rsidR="0074505A" w:rsidRPr="0074505A">
        <w:rPr>
          <w:rFonts w:ascii="Times New Roman" w:hAnsi="Times New Roman" w:cs="Times New Roman"/>
          <w:sz w:val="28"/>
          <w:szCs w:val="28"/>
        </w:rPr>
        <w:t xml:space="preserve"> собой аттестацию рабочих мест.</w:t>
      </w:r>
    </w:p>
    <w:p w:rsidR="00171BFF" w:rsidRPr="0074505A" w:rsidRDefault="00171BFF" w:rsidP="000C3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5A">
        <w:rPr>
          <w:rFonts w:ascii="Times New Roman" w:hAnsi="Times New Roman" w:cs="Times New Roman"/>
          <w:sz w:val="28"/>
          <w:szCs w:val="28"/>
        </w:rPr>
        <w:t>Специальная оценка условий труда является единым комплексом последовательно осуществляемых мероприятий по идентификации вредных и (или) опасных факторов производственной среды и трудового процесса и оценке уровня их воздействия на работника с учетом отклонения их фактических значений от установленных нормативов, по ее результатам устанавливаются</w:t>
      </w:r>
      <w:r w:rsidR="0074505A" w:rsidRPr="0074505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anchor="dst100159" w:history="1">
        <w:r w:rsidRPr="0074505A">
          <w:rPr>
            <w:rFonts w:ascii="Times New Roman" w:hAnsi="Times New Roman" w:cs="Times New Roman"/>
            <w:sz w:val="28"/>
            <w:szCs w:val="28"/>
          </w:rPr>
          <w:t>классы</w:t>
        </w:r>
      </w:hyperlink>
      <w:r w:rsidR="0074505A" w:rsidRPr="0074505A">
        <w:rPr>
          <w:rFonts w:ascii="Times New Roman" w:hAnsi="Times New Roman" w:cs="Times New Roman"/>
          <w:sz w:val="28"/>
          <w:szCs w:val="28"/>
        </w:rPr>
        <w:t xml:space="preserve"> </w:t>
      </w:r>
      <w:r w:rsidRPr="0074505A">
        <w:rPr>
          <w:rFonts w:ascii="Times New Roman" w:hAnsi="Times New Roman" w:cs="Times New Roman"/>
          <w:sz w:val="28"/>
          <w:szCs w:val="28"/>
        </w:rPr>
        <w:t>(подклассы) условий труда на рабочих местах.</w:t>
      </w:r>
    </w:p>
    <w:p w:rsidR="007069DA" w:rsidRPr="0074505A" w:rsidRDefault="007069DA" w:rsidP="000C3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5A">
        <w:rPr>
          <w:rFonts w:ascii="Times New Roman" w:hAnsi="Times New Roman" w:cs="Times New Roman"/>
          <w:sz w:val="28"/>
          <w:szCs w:val="28"/>
        </w:rPr>
        <w:t>С целью обеспечения безопасных условий труда Трудовым законодательством установлена обязанность работодателя о проведении специальной оценки условий труда не реже чем один раз в пять лет в соответствии с Федеральным законом №426-ФЗ.</w:t>
      </w:r>
      <w:bookmarkStart w:id="0" w:name="dst100019"/>
      <w:bookmarkStart w:id="1" w:name="dst100020"/>
      <w:bookmarkEnd w:id="0"/>
      <w:bookmarkEnd w:id="1"/>
    </w:p>
    <w:p w:rsidR="00D3449E" w:rsidRPr="0074505A" w:rsidRDefault="00D3449E" w:rsidP="000C300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05A">
        <w:rPr>
          <w:rFonts w:ascii="Times New Roman" w:hAnsi="Times New Roman" w:cs="Times New Roman"/>
          <w:sz w:val="28"/>
          <w:szCs w:val="28"/>
        </w:rPr>
        <w:t xml:space="preserve">По результатам проведенной специальной оценки условий труда на каждое рабочее место, подлежащее данной процедуре, оформляется «Карта специальной оценки условий труда», в которой содержатся сведения, установленные экспертом организации, проводящей специальную оценку условий труда, а также классы (подклассы) условий труда и все полагающиеся гарантии </w:t>
      </w:r>
      <w:r w:rsidR="003A77E1" w:rsidRPr="0074505A">
        <w:rPr>
          <w:rFonts w:ascii="Times New Roman" w:hAnsi="Times New Roman" w:cs="Times New Roman"/>
          <w:sz w:val="28"/>
          <w:szCs w:val="28"/>
        </w:rPr>
        <w:t>(компенсации)</w:t>
      </w:r>
      <w:r w:rsidRPr="0074505A">
        <w:rPr>
          <w:rFonts w:ascii="Times New Roman" w:hAnsi="Times New Roman" w:cs="Times New Roman"/>
          <w:sz w:val="28"/>
          <w:szCs w:val="28"/>
        </w:rPr>
        <w:t xml:space="preserve"> в связи с проведенными исследованиями (испытаниями) и измерен</w:t>
      </w:r>
      <w:r w:rsidR="0074505A" w:rsidRPr="0074505A">
        <w:rPr>
          <w:rFonts w:ascii="Times New Roman" w:hAnsi="Times New Roman" w:cs="Times New Roman"/>
          <w:sz w:val="28"/>
          <w:szCs w:val="28"/>
        </w:rPr>
        <w:t>и</w:t>
      </w:r>
      <w:r w:rsidR="003A77E1" w:rsidRPr="0074505A">
        <w:rPr>
          <w:rFonts w:ascii="Times New Roman" w:hAnsi="Times New Roman" w:cs="Times New Roman"/>
          <w:sz w:val="28"/>
          <w:szCs w:val="28"/>
        </w:rPr>
        <w:t>ями</w:t>
      </w:r>
      <w:r w:rsidRPr="0074505A">
        <w:rPr>
          <w:rFonts w:ascii="Times New Roman" w:hAnsi="Times New Roman" w:cs="Times New Roman"/>
          <w:sz w:val="28"/>
          <w:szCs w:val="28"/>
        </w:rPr>
        <w:t xml:space="preserve"> идентифицированных вредных и (или) опасных производственных факторов.</w:t>
      </w:r>
      <w:proofErr w:type="gramEnd"/>
    </w:p>
    <w:p w:rsidR="003A77E1" w:rsidRPr="0074505A" w:rsidRDefault="000C3005" w:rsidP="006A3A8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05A">
        <w:rPr>
          <w:rFonts w:ascii="Times New Roman" w:hAnsi="Times New Roman" w:cs="Times New Roman"/>
          <w:sz w:val="28"/>
          <w:szCs w:val="28"/>
        </w:rPr>
        <w:t>На практике применение таких, казалось бы, простых норм вызывает достаточно много проблем, работники зачастую выражают свое несогласие со сведениями, включенными в «Карты специальной оценк</w:t>
      </w:r>
      <w:r w:rsidR="003A77E1" w:rsidRPr="0074505A">
        <w:rPr>
          <w:rFonts w:ascii="Times New Roman" w:hAnsi="Times New Roman" w:cs="Times New Roman"/>
          <w:sz w:val="28"/>
          <w:szCs w:val="28"/>
        </w:rPr>
        <w:t>и</w:t>
      </w:r>
      <w:r w:rsidRPr="0074505A">
        <w:rPr>
          <w:rFonts w:ascii="Times New Roman" w:hAnsi="Times New Roman" w:cs="Times New Roman"/>
          <w:sz w:val="28"/>
          <w:szCs w:val="28"/>
        </w:rPr>
        <w:t xml:space="preserve"> условий труда»</w:t>
      </w:r>
      <w:r w:rsidR="006A3A89" w:rsidRPr="0074505A">
        <w:rPr>
          <w:rFonts w:ascii="Times New Roman" w:hAnsi="Times New Roman" w:cs="Times New Roman"/>
          <w:sz w:val="28"/>
          <w:szCs w:val="28"/>
        </w:rPr>
        <w:t xml:space="preserve"> в части необходимости прохождения медицинских осмотров. </w:t>
      </w:r>
    </w:p>
    <w:p w:rsidR="003A77E1" w:rsidRPr="0074505A" w:rsidRDefault="006A3A89" w:rsidP="006A3A8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05A">
        <w:rPr>
          <w:rFonts w:ascii="Times New Roman" w:hAnsi="Times New Roman" w:cs="Times New Roman"/>
          <w:sz w:val="28"/>
          <w:szCs w:val="28"/>
        </w:rPr>
        <w:t>Вместе с тем, в строке «Проведение медицинских осмотров» должны быть указаны только те гарантии (компенсации), основанием для предоставления которых являются вредные (опасные) услови</w:t>
      </w:r>
      <w:r w:rsidR="003A77E1" w:rsidRPr="0074505A">
        <w:rPr>
          <w:rFonts w:ascii="Times New Roman" w:hAnsi="Times New Roman" w:cs="Times New Roman"/>
          <w:sz w:val="28"/>
          <w:szCs w:val="28"/>
        </w:rPr>
        <w:t>я</w:t>
      </w:r>
      <w:r w:rsidRPr="0074505A">
        <w:rPr>
          <w:rFonts w:ascii="Times New Roman" w:hAnsi="Times New Roman" w:cs="Times New Roman"/>
          <w:sz w:val="28"/>
          <w:szCs w:val="28"/>
        </w:rPr>
        <w:t xml:space="preserve"> труда, определенные по результатам проведения специальной оценки условий труда на рабочем месте, в отношении которого оформляется «Карта специальной оценки условий труда»</w:t>
      </w:r>
      <w:r w:rsidR="000C3005" w:rsidRPr="0074505A">
        <w:rPr>
          <w:rFonts w:ascii="Times New Roman" w:hAnsi="Times New Roman" w:cs="Times New Roman"/>
          <w:sz w:val="28"/>
          <w:szCs w:val="28"/>
        </w:rPr>
        <w:t>.</w:t>
      </w:r>
    </w:p>
    <w:p w:rsidR="006A3A89" w:rsidRPr="0074505A" w:rsidRDefault="006A3A89" w:rsidP="003A77E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05A">
        <w:rPr>
          <w:rFonts w:ascii="Times New Roman" w:hAnsi="Times New Roman" w:cs="Times New Roman"/>
          <w:sz w:val="28"/>
          <w:szCs w:val="28"/>
        </w:rPr>
        <w:t xml:space="preserve">Оформленная «Карта специальной оценки условий труда» не отменяет действие </w:t>
      </w:r>
      <w:hyperlink r:id="rId6" w:history="1">
        <w:r w:rsidRPr="0074505A">
          <w:rPr>
            <w:rFonts w:ascii="Times New Roman" w:hAnsi="Times New Roman" w:cs="Times New Roman"/>
            <w:sz w:val="28"/>
            <w:szCs w:val="28"/>
          </w:rPr>
          <w:t>Приказа</w:t>
        </w:r>
        <w:r w:rsidR="0074505A" w:rsidRPr="0074505A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74505A">
          <w:rPr>
            <w:rFonts w:ascii="Times New Roman" w:hAnsi="Times New Roman" w:cs="Times New Roman"/>
            <w:sz w:val="28"/>
            <w:szCs w:val="28"/>
          </w:rPr>
          <w:t>Минздравсоцразвития</w:t>
        </w:r>
        <w:proofErr w:type="spellEnd"/>
        <w:r w:rsidRPr="0074505A">
          <w:rPr>
            <w:rFonts w:ascii="Times New Roman" w:hAnsi="Times New Roman" w:cs="Times New Roman"/>
            <w:sz w:val="28"/>
            <w:szCs w:val="28"/>
          </w:rPr>
          <w:t xml:space="preserve"> России от 12.04.2011 </w:t>
        </w:r>
        <w:r w:rsidR="0074505A" w:rsidRPr="0074505A">
          <w:rPr>
            <w:rFonts w:ascii="Times New Roman" w:hAnsi="Times New Roman" w:cs="Times New Roman"/>
            <w:sz w:val="28"/>
            <w:szCs w:val="28"/>
          </w:rPr>
          <w:t>№</w:t>
        </w:r>
        <w:r w:rsidRPr="0074505A">
          <w:rPr>
            <w:rFonts w:ascii="Times New Roman" w:hAnsi="Times New Roman" w:cs="Times New Roman"/>
            <w:sz w:val="28"/>
            <w:szCs w:val="28"/>
          </w:rPr>
          <w:t xml:space="preserve">302н </w:t>
        </w:r>
        <w:r w:rsidR="003A77E1" w:rsidRPr="0074505A">
          <w:rPr>
            <w:rFonts w:ascii="Times New Roman" w:hAnsi="Times New Roman" w:cs="Times New Roman"/>
            <w:sz w:val="28"/>
            <w:szCs w:val="28"/>
          </w:rPr>
          <w:t xml:space="preserve">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</w:t>
        </w:r>
        <w:r w:rsidR="003A77E1" w:rsidRPr="0074505A">
          <w:rPr>
            <w:rFonts w:ascii="Times New Roman" w:hAnsi="Times New Roman" w:cs="Times New Roman"/>
            <w:sz w:val="28"/>
            <w:szCs w:val="28"/>
          </w:rPr>
          <w:lastRenderedPageBreak/>
          <w:t>проведения обязательных предварительных и периодических медицинских осмотров (обследований) работников, занятыхна тяжелых работахи на работах с вредными и (или) опасными условиями труда</w:t>
        </w:r>
      </w:hyperlink>
      <w:r w:rsidRPr="0074505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236AB" w:rsidRPr="0074505A" w:rsidRDefault="008D569A" w:rsidP="000C300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05A">
        <w:rPr>
          <w:rFonts w:ascii="Times New Roman" w:hAnsi="Times New Roman" w:cs="Times New Roman"/>
          <w:sz w:val="28"/>
          <w:szCs w:val="28"/>
        </w:rPr>
        <w:t xml:space="preserve">После проведения специальной оценки условий труда с соблюдением всех процедур регламентированных законодательством о специальной оценке условий труда работодатель в отношении рабочих мест, на которых вредные и (или) опасные производственные факторы по результатам осуществления идентификации не выявлены, а также условия </w:t>
      </w:r>
      <w:proofErr w:type="gramStart"/>
      <w:r w:rsidRPr="0074505A"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 w:rsidRPr="0074505A">
        <w:rPr>
          <w:rFonts w:ascii="Times New Roman" w:hAnsi="Times New Roman" w:cs="Times New Roman"/>
          <w:sz w:val="28"/>
          <w:szCs w:val="28"/>
        </w:rPr>
        <w:t xml:space="preserve"> на которых по результатам исследований (испытаний) и измерений вредных и (или) опасных производственных факторов признаны оптимальными или допустимыми, за исключением </w:t>
      </w:r>
      <w:proofErr w:type="gramStart"/>
      <w:r w:rsidRPr="0074505A">
        <w:rPr>
          <w:rFonts w:ascii="Times New Roman" w:hAnsi="Times New Roman" w:cs="Times New Roman"/>
          <w:sz w:val="28"/>
          <w:szCs w:val="28"/>
        </w:rPr>
        <w:t>рабочих мест, указанных в </w:t>
      </w:r>
      <w:hyperlink r:id="rId7" w:anchor="dst100095" w:history="1">
        <w:r w:rsidRPr="0074505A">
          <w:rPr>
            <w:rFonts w:ascii="Times New Roman" w:hAnsi="Times New Roman" w:cs="Times New Roman"/>
            <w:sz w:val="28"/>
            <w:szCs w:val="28"/>
          </w:rPr>
          <w:t>части 6 статьи 10</w:t>
        </w:r>
      </w:hyperlink>
      <w:r w:rsidRPr="0074505A">
        <w:rPr>
          <w:rFonts w:ascii="Times New Roman" w:hAnsi="Times New Roman" w:cs="Times New Roman"/>
          <w:sz w:val="28"/>
          <w:szCs w:val="28"/>
        </w:rPr>
        <w:t xml:space="preserve"> Федерального закона №426-ФЗ обязан подать в территориальный орган федерального государственного надзора за соблюдением трудового законодательства декларацию соответствия условий труда государственным нормативным требованиям охраны труда</w:t>
      </w:r>
      <w:r w:rsidR="000236AB" w:rsidRPr="0074505A">
        <w:rPr>
          <w:rFonts w:ascii="Times New Roman" w:hAnsi="Times New Roman" w:cs="Times New Roman"/>
          <w:sz w:val="28"/>
          <w:szCs w:val="28"/>
        </w:rPr>
        <w:t xml:space="preserve"> (далее – Декларация)</w:t>
      </w:r>
      <w:r w:rsidRPr="007450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36AB" w:rsidRPr="0074505A" w:rsidRDefault="000236AB" w:rsidP="00023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5A">
        <w:rPr>
          <w:rFonts w:ascii="Times New Roman" w:hAnsi="Times New Roman" w:cs="Times New Roman"/>
          <w:sz w:val="28"/>
          <w:szCs w:val="28"/>
        </w:rPr>
        <w:t>Форма и порядок подачи декларации установлены Приказом Минтруда России от 07.02.2014 №80н. В практике не редко встречаются проблемы понимания работодател</w:t>
      </w:r>
      <w:r w:rsidR="003A77E1" w:rsidRPr="0074505A">
        <w:rPr>
          <w:rFonts w:ascii="Times New Roman" w:hAnsi="Times New Roman" w:cs="Times New Roman"/>
          <w:sz w:val="28"/>
          <w:szCs w:val="28"/>
        </w:rPr>
        <w:t>ями</w:t>
      </w:r>
      <w:r w:rsidRPr="0074505A">
        <w:rPr>
          <w:rFonts w:ascii="Times New Roman" w:hAnsi="Times New Roman" w:cs="Times New Roman"/>
          <w:sz w:val="28"/>
          <w:szCs w:val="28"/>
        </w:rPr>
        <w:t xml:space="preserve"> подачи данной декларации. </w:t>
      </w:r>
      <w:r w:rsidR="001A47AD" w:rsidRPr="0074505A">
        <w:rPr>
          <w:rFonts w:ascii="Times New Roman" w:hAnsi="Times New Roman" w:cs="Times New Roman"/>
          <w:sz w:val="28"/>
          <w:szCs w:val="28"/>
        </w:rPr>
        <w:t>Многие работодатели</w:t>
      </w:r>
      <w:r w:rsidRPr="0074505A">
        <w:rPr>
          <w:rFonts w:ascii="Times New Roman" w:hAnsi="Times New Roman" w:cs="Times New Roman"/>
          <w:sz w:val="28"/>
          <w:szCs w:val="28"/>
        </w:rPr>
        <w:t xml:space="preserve"> считают, что декларацию </w:t>
      </w:r>
      <w:r w:rsidR="001A47AD" w:rsidRPr="0074505A">
        <w:rPr>
          <w:rFonts w:ascii="Times New Roman" w:hAnsi="Times New Roman" w:cs="Times New Roman"/>
          <w:sz w:val="28"/>
          <w:szCs w:val="28"/>
        </w:rPr>
        <w:t>обязаны</w:t>
      </w:r>
      <w:r w:rsidRPr="0074505A">
        <w:rPr>
          <w:rFonts w:ascii="Times New Roman" w:hAnsi="Times New Roman" w:cs="Times New Roman"/>
          <w:sz w:val="28"/>
          <w:szCs w:val="28"/>
        </w:rPr>
        <w:t xml:space="preserve"> подавать организации</w:t>
      </w:r>
      <w:r w:rsidR="001A47AD" w:rsidRPr="0074505A">
        <w:rPr>
          <w:rFonts w:ascii="Times New Roman" w:hAnsi="Times New Roman" w:cs="Times New Roman"/>
          <w:sz w:val="28"/>
          <w:szCs w:val="28"/>
        </w:rPr>
        <w:t>,</w:t>
      </w:r>
      <w:r w:rsidRPr="0074505A">
        <w:rPr>
          <w:rFonts w:ascii="Times New Roman" w:hAnsi="Times New Roman" w:cs="Times New Roman"/>
          <w:sz w:val="28"/>
          <w:szCs w:val="28"/>
        </w:rPr>
        <w:t xml:space="preserve"> проводящие специальную оценку условий труда, </w:t>
      </w:r>
      <w:r w:rsidR="001A47AD" w:rsidRPr="0074505A">
        <w:rPr>
          <w:rFonts w:ascii="Times New Roman" w:hAnsi="Times New Roman" w:cs="Times New Roman"/>
          <w:sz w:val="28"/>
          <w:szCs w:val="28"/>
        </w:rPr>
        <w:t>вместе с тем</w:t>
      </w:r>
      <w:r w:rsidRPr="0074505A">
        <w:rPr>
          <w:rFonts w:ascii="Times New Roman" w:hAnsi="Times New Roman" w:cs="Times New Roman"/>
          <w:sz w:val="28"/>
          <w:szCs w:val="28"/>
        </w:rPr>
        <w:t xml:space="preserve"> Приказом Минтруда России от 07.02.2014 №80н</w:t>
      </w:r>
      <w:r w:rsidR="001A47AD" w:rsidRPr="0074505A">
        <w:rPr>
          <w:rFonts w:ascii="Times New Roman" w:hAnsi="Times New Roman" w:cs="Times New Roman"/>
          <w:sz w:val="28"/>
          <w:szCs w:val="28"/>
        </w:rPr>
        <w:t>,</w:t>
      </w:r>
      <w:r w:rsidRPr="0074505A">
        <w:rPr>
          <w:rFonts w:ascii="Times New Roman" w:hAnsi="Times New Roman" w:cs="Times New Roman"/>
          <w:sz w:val="28"/>
          <w:szCs w:val="28"/>
        </w:rPr>
        <w:t xml:space="preserve"> обязанность в подаче декларации не позднее тридцати рабочих дней со дня утверждения отчета о проведении специальной оценки условий труда закреплена</w:t>
      </w:r>
      <w:r w:rsidR="001A47AD" w:rsidRPr="0074505A">
        <w:rPr>
          <w:rFonts w:ascii="Times New Roman" w:hAnsi="Times New Roman" w:cs="Times New Roman"/>
          <w:sz w:val="28"/>
          <w:szCs w:val="28"/>
        </w:rPr>
        <w:t xml:space="preserve"> именно</w:t>
      </w:r>
      <w:r w:rsidRPr="0074505A">
        <w:rPr>
          <w:rFonts w:ascii="Times New Roman" w:hAnsi="Times New Roman" w:cs="Times New Roman"/>
          <w:sz w:val="28"/>
          <w:szCs w:val="28"/>
        </w:rPr>
        <w:t xml:space="preserve"> за работодателем.</w:t>
      </w:r>
    </w:p>
    <w:p w:rsidR="000C3005" w:rsidRPr="0074505A" w:rsidRDefault="000C3005" w:rsidP="008D5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5A">
        <w:rPr>
          <w:rFonts w:ascii="Times New Roman" w:hAnsi="Times New Roman" w:cs="Times New Roman"/>
          <w:sz w:val="28"/>
          <w:szCs w:val="28"/>
        </w:rPr>
        <w:t>Несоблюдение работодателями порядка проведения специальной оценки условий труда, влечет за собой административную ответственность.</w:t>
      </w:r>
    </w:p>
    <w:p w:rsidR="000B43C4" w:rsidRPr="0074505A" w:rsidRDefault="000C3005" w:rsidP="008D5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4505A">
        <w:rPr>
          <w:rFonts w:ascii="Times New Roman" w:hAnsi="Times New Roman" w:cs="Times New Roman"/>
          <w:sz w:val="28"/>
          <w:szCs w:val="28"/>
        </w:rPr>
        <w:t xml:space="preserve">Согласно ч. 2 ст. 5.27.1 КоАП РФ в отношении должностных лиц - предупреждение или наложение административного штрафа в размере от пяти тысяч до десяти тысяч рублей, в отношении индивидуальных предпринимателей - предупреждение или наложение административного штрафа в размере от пяти тысяч до десяти тысяч рублей, в отношении юридических лиц - </w:t>
      </w:r>
      <w:r w:rsidRPr="0074505A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предупреждение или наложение адм</w:t>
      </w:r>
      <w:r w:rsidR="003A77E1" w:rsidRPr="0074505A">
        <w:rPr>
          <w:rFonts w:ascii="Times New Roman" w:hAnsi="Times New Roman" w:cs="Times New Roman"/>
          <w:sz w:val="28"/>
          <w:szCs w:val="28"/>
          <w:shd w:val="clear" w:color="auto" w:fill="FFFFFF"/>
        </w:rPr>
        <w:t>инистративного штрафа в размере</w:t>
      </w:r>
      <w:r w:rsidRPr="007450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шестидесяти тысяч до восьмидесяти тысяч</w:t>
      </w:r>
      <w:proofErr w:type="gramEnd"/>
      <w:r w:rsidRPr="007450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рублей.</w:t>
      </w:r>
    </w:p>
    <w:p w:rsidR="000B43C4" w:rsidRPr="0074505A" w:rsidRDefault="000B43C4" w:rsidP="000B4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450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Нарушение порядка подачи декларации не относится к порядку проведения специальной оценки условий труда и влечет за собой административную ответственность согласно ч. 1 ст. 5.27.1 КоАП РФ </w:t>
      </w:r>
      <w:r w:rsidRPr="0074505A">
        <w:rPr>
          <w:rFonts w:ascii="Times New Roman" w:hAnsi="Times New Roman" w:cs="Times New Roman"/>
          <w:sz w:val="28"/>
          <w:szCs w:val="28"/>
        </w:rPr>
        <w:t>в отношении должностных лиц - предупреждение или наложение административного штрафа в размере от двух тысяч до пяти тысяч рублей, в отношении индивидуальных предпринимателей - предупреждение или наложение административного штрафа в размере от двух тысяч до пяти</w:t>
      </w:r>
      <w:proofErr w:type="gramEnd"/>
      <w:r w:rsidRPr="0074505A">
        <w:rPr>
          <w:rFonts w:ascii="Times New Roman" w:hAnsi="Times New Roman" w:cs="Times New Roman"/>
          <w:sz w:val="28"/>
          <w:szCs w:val="28"/>
        </w:rPr>
        <w:t xml:space="preserve"> тысяч рублей, в отношении юридических лиц - </w:t>
      </w:r>
      <w:r w:rsidRPr="0074505A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предупреждение или наложение административного штрафа в размере  от пятидесяти тысяч до восьмидесяти тысяч рублей.</w:t>
      </w:r>
    </w:p>
    <w:p w:rsidR="003A77E1" w:rsidRPr="0074505A" w:rsidRDefault="000B43C4" w:rsidP="000B4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5A">
        <w:rPr>
          <w:rFonts w:ascii="Times New Roman" w:hAnsi="Times New Roman" w:cs="Times New Roman"/>
          <w:sz w:val="28"/>
          <w:szCs w:val="28"/>
        </w:rPr>
        <w:lastRenderedPageBreak/>
        <w:t>Добросовестные работодатели, которые осуществляли аттестацию рабочих мест по правилам ранее действующего законодательства, имеют право на переходный период. Если работодатель произвел аттестацию рабочих мест до 1 января 2014 года по нормам ранее действовавшего законодательства, то он освобождается от</w:t>
      </w:r>
      <w:r w:rsidR="003A77E1" w:rsidRPr="0074505A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74505A">
        <w:rPr>
          <w:rFonts w:ascii="Times New Roman" w:hAnsi="Times New Roman" w:cs="Times New Roman"/>
          <w:sz w:val="28"/>
          <w:szCs w:val="28"/>
        </w:rPr>
        <w:t xml:space="preserve"> специальной оценки условий труда, на период истечения сроков произведенной аттестации рабочих мест, но не более чем до 31 декабря 2018 года. </w:t>
      </w:r>
    </w:p>
    <w:p w:rsidR="000B43C4" w:rsidRPr="0074505A" w:rsidRDefault="000B43C4" w:rsidP="000B43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05A">
        <w:rPr>
          <w:rFonts w:ascii="Times New Roman" w:hAnsi="Times New Roman" w:cs="Times New Roman"/>
          <w:sz w:val="28"/>
          <w:szCs w:val="28"/>
        </w:rPr>
        <w:t>Таким образом, добросовестные работодатели могут учитывать результаты ранее проведенных аттестаций рабочих мест для требований новых законодательных норм и использовать их результаты для организации медицинских осмотров, для информирования сотрудников об условиях труда, для обеспечения работников средствами индивидуальной защиты, начисления компенсаций и пр.</w:t>
      </w:r>
    </w:p>
    <w:p w:rsidR="000B43C4" w:rsidRPr="0074505A" w:rsidRDefault="003A77E1" w:rsidP="000B43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05A">
        <w:rPr>
          <w:rFonts w:ascii="Times New Roman" w:hAnsi="Times New Roman" w:cs="Times New Roman"/>
          <w:color w:val="000000"/>
          <w:sz w:val="28"/>
          <w:szCs w:val="28"/>
        </w:rPr>
        <w:t>Стоит обратить внимание</w:t>
      </w:r>
      <w:r w:rsidR="000B43C4" w:rsidRPr="0074505A"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bookmarkStart w:id="2" w:name="308"/>
      <w:r w:rsidR="000B43C4" w:rsidRPr="0074505A">
        <w:rPr>
          <w:rFonts w:ascii="Times New Roman" w:hAnsi="Times New Roman" w:cs="Times New Roman"/>
          <w:color w:val="000000"/>
          <w:sz w:val="28"/>
          <w:szCs w:val="28"/>
        </w:rPr>
        <w:t xml:space="preserve">органы государственного надзора и </w:t>
      </w:r>
      <w:proofErr w:type="gramStart"/>
      <w:r w:rsidR="000B43C4" w:rsidRPr="0074505A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0B43C4" w:rsidRPr="0074505A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трудового законодательства</w:t>
      </w:r>
      <w:bookmarkEnd w:id="2"/>
      <w:r w:rsidR="00416776" w:rsidRPr="0074505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B43C4" w:rsidRPr="0074505A">
        <w:rPr>
          <w:rFonts w:ascii="Times New Roman" w:hAnsi="Times New Roman" w:cs="Times New Roman"/>
          <w:color w:val="000000"/>
          <w:sz w:val="28"/>
          <w:szCs w:val="28"/>
        </w:rPr>
        <w:t xml:space="preserve"> с наступлением 2019 года, начнут работу на предмет соблюдения работодателями закона о специальной оценке условий труда.</w:t>
      </w:r>
    </w:p>
    <w:p w:rsidR="003A77E1" w:rsidRDefault="003A77E1" w:rsidP="003A77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505A" w:rsidRPr="003A77E1" w:rsidRDefault="0074505A" w:rsidP="003A77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77E1" w:rsidRDefault="003A77E1" w:rsidP="003A77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7E1">
        <w:rPr>
          <w:rFonts w:ascii="Times New Roman" w:hAnsi="Times New Roman" w:cs="Times New Roman"/>
          <w:color w:val="000000"/>
          <w:sz w:val="28"/>
          <w:szCs w:val="28"/>
        </w:rPr>
        <w:t>Статью подготовил Государственный инспектор труда (по охране труда) Государственной инспекции труда в Республике Коми Зиборов Максим Александрович.</w:t>
      </w:r>
      <w:bookmarkStart w:id="3" w:name="_GoBack"/>
      <w:bookmarkEnd w:id="3"/>
    </w:p>
    <w:sectPr w:rsidR="003A77E1" w:rsidSect="00E27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C5B64"/>
    <w:multiLevelType w:val="multilevel"/>
    <w:tmpl w:val="92E6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BE0"/>
    <w:rsid w:val="000236AB"/>
    <w:rsid w:val="000B43C4"/>
    <w:rsid w:val="000C3005"/>
    <w:rsid w:val="00171BFF"/>
    <w:rsid w:val="001A47AD"/>
    <w:rsid w:val="002F7BE0"/>
    <w:rsid w:val="003A77E1"/>
    <w:rsid w:val="00416776"/>
    <w:rsid w:val="004D2325"/>
    <w:rsid w:val="00623E65"/>
    <w:rsid w:val="006A3A89"/>
    <w:rsid w:val="007069DA"/>
    <w:rsid w:val="0074505A"/>
    <w:rsid w:val="008927E7"/>
    <w:rsid w:val="008D569A"/>
    <w:rsid w:val="00D3449E"/>
    <w:rsid w:val="00E27020"/>
    <w:rsid w:val="00FD2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20"/>
  </w:style>
  <w:style w:type="paragraph" w:styleId="1">
    <w:name w:val="heading 1"/>
    <w:basedOn w:val="a"/>
    <w:link w:val="10"/>
    <w:uiPriority w:val="9"/>
    <w:qFormat/>
    <w:rsid w:val="000236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3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1BFF"/>
    <w:rPr>
      <w:color w:val="0000FF"/>
      <w:u w:val="single"/>
    </w:rPr>
  </w:style>
  <w:style w:type="character" w:customStyle="1" w:styleId="blk">
    <w:name w:val="blk"/>
    <w:basedOn w:val="a0"/>
    <w:rsid w:val="00171BFF"/>
  </w:style>
  <w:style w:type="character" w:customStyle="1" w:styleId="10">
    <w:name w:val="Заголовок 1 Знак"/>
    <w:basedOn w:val="a0"/>
    <w:link w:val="1"/>
    <w:uiPriority w:val="9"/>
    <w:rsid w:val="000236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B43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Знак1 Знак Знак Знак Знак Знак Знак Знак Знак Знак Знак Знак"/>
    <w:basedOn w:val="a"/>
    <w:rsid w:val="006A3A89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A3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3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2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7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2921/5fc2deb1dd452bc1ae07db7ba9a161f8bc9c9eb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20902/ade2f21aef1dcbb633ff5de4fa0a5cb2c5a40613/" TargetMode="External"/><Relationship Id="rId5" Type="http://schemas.openxmlformats.org/officeDocument/2006/relationships/hyperlink" Target="http://www.consultant.ru/document/cons_doc_LAW_302921/4a4183762b40bc594a54f8ae5656a21be2633daf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Надежда Хроменкова</cp:lastModifiedBy>
  <cp:revision>7</cp:revision>
  <cp:lastPrinted>2018-11-06T05:50:00Z</cp:lastPrinted>
  <dcterms:created xsi:type="dcterms:W3CDTF">2018-11-04T11:44:00Z</dcterms:created>
  <dcterms:modified xsi:type="dcterms:W3CDTF">2018-11-07T06:27:00Z</dcterms:modified>
</cp:coreProperties>
</file>