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F0440D" w:rsidRPr="00915705" w:rsidTr="00AD3AE8">
        <w:tc>
          <w:tcPr>
            <w:tcW w:w="3828" w:type="dxa"/>
          </w:tcPr>
          <w:p w:rsidR="00F0440D" w:rsidRPr="00915705" w:rsidRDefault="00F0440D" w:rsidP="00AD3AE8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91570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15705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F0440D" w:rsidRPr="00915705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0440D" w:rsidRPr="00915705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0440D" w:rsidRPr="00915705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F0440D" w:rsidRPr="00915705" w:rsidRDefault="00F0440D" w:rsidP="00AD3AE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0440D" w:rsidRPr="00915705" w:rsidRDefault="00F0440D" w:rsidP="00AD3AE8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 </w:t>
            </w:r>
          </w:p>
          <w:p w:rsidR="00F0440D" w:rsidRPr="00915705" w:rsidRDefault="00F0440D" w:rsidP="00AD3AE8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«ПЕЧОРА »  </w:t>
            </w:r>
          </w:p>
          <w:p w:rsidR="00F0440D" w:rsidRPr="00915705" w:rsidRDefault="00F0440D" w:rsidP="00AD3AE8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>МУНИЦИПАЛЬНÖЙ РАЙОНСА</w:t>
            </w:r>
          </w:p>
          <w:p w:rsidR="00F0440D" w:rsidRPr="00915705" w:rsidRDefault="00F0440D" w:rsidP="00AD3AE8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АДМИНИСТРАЦИЯ </w:t>
            </w:r>
          </w:p>
          <w:p w:rsidR="00F0440D" w:rsidRPr="00915705" w:rsidRDefault="00F0440D" w:rsidP="00AD3AE8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F0440D" w:rsidRPr="00915705" w:rsidRDefault="00F0440D" w:rsidP="00AD3AE8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0440D" w:rsidTr="00AD3AE8">
        <w:tc>
          <w:tcPr>
            <w:tcW w:w="10206" w:type="dxa"/>
            <w:gridSpan w:val="3"/>
          </w:tcPr>
          <w:p w:rsidR="00F0440D" w:rsidRDefault="00F0440D" w:rsidP="00AD3AE8">
            <w:pPr>
              <w:ind w:right="-108"/>
              <w:jc w:val="center"/>
              <w:rPr>
                <w:b/>
                <w:sz w:val="28"/>
              </w:rPr>
            </w:pPr>
          </w:p>
          <w:p w:rsidR="00F0440D" w:rsidRDefault="00F0440D" w:rsidP="00AD3AE8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РАСПОРЯЖЕНИЕ</w:t>
            </w:r>
          </w:p>
          <w:p w:rsidR="00F0440D" w:rsidRDefault="00F0440D" w:rsidP="00AD3AE8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ТШÖКТÖМ</w:t>
            </w:r>
          </w:p>
          <w:p w:rsidR="00F0440D" w:rsidRDefault="00F0440D" w:rsidP="00AD3AE8">
            <w:pPr>
              <w:ind w:right="-108"/>
              <w:rPr>
                <w:b/>
                <w:sz w:val="24"/>
              </w:rPr>
            </w:pPr>
          </w:p>
        </w:tc>
      </w:tr>
      <w:tr w:rsidR="00F0440D" w:rsidTr="00AD3AE8">
        <w:tc>
          <w:tcPr>
            <w:tcW w:w="3828" w:type="dxa"/>
          </w:tcPr>
          <w:p w:rsidR="00F0440D" w:rsidRPr="00934A54" w:rsidRDefault="00D30C51" w:rsidP="00AD3AE8">
            <w:pPr>
              <w:rPr>
                <w:szCs w:val="26"/>
                <w:u w:val="single"/>
              </w:rPr>
            </w:pPr>
            <w:r w:rsidRPr="00934A54">
              <w:rPr>
                <w:szCs w:val="26"/>
                <w:u w:val="single"/>
              </w:rPr>
              <w:t>«</w:t>
            </w:r>
            <w:r w:rsidR="007C6994" w:rsidRPr="00934A54">
              <w:rPr>
                <w:szCs w:val="26"/>
                <w:u w:val="single"/>
              </w:rPr>
              <w:t xml:space="preserve"> </w:t>
            </w:r>
            <w:r w:rsidR="00934A54" w:rsidRPr="00934A54">
              <w:rPr>
                <w:szCs w:val="26"/>
                <w:u w:val="single"/>
              </w:rPr>
              <w:t>04</w:t>
            </w:r>
            <w:r w:rsidR="007C6994" w:rsidRPr="00934A54">
              <w:rPr>
                <w:szCs w:val="26"/>
                <w:u w:val="single"/>
              </w:rPr>
              <w:t xml:space="preserve">  </w:t>
            </w:r>
            <w:r w:rsidR="00290F41" w:rsidRPr="00934A54">
              <w:rPr>
                <w:szCs w:val="26"/>
                <w:u w:val="single"/>
              </w:rPr>
              <w:t xml:space="preserve">» </w:t>
            </w:r>
            <w:r w:rsidR="00C041CD" w:rsidRPr="00934A54">
              <w:rPr>
                <w:szCs w:val="26"/>
                <w:u w:val="single"/>
              </w:rPr>
              <w:t>феврал</w:t>
            </w:r>
            <w:r w:rsidR="007C6994" w:rsidRPr="00934A54">
              <w:rPr>
                <w:szCs w:val="26"/>
                <w:u w:val="single"/>
              </w:rPr>
              <w:t>я</w:t>
            </w:r>
            <w:r w:rsidR="00C748D3" w:rsidRPr="00934A54">
              <w:rPr>
                <w:szCs w:val="26"/>
                <w:u w:val="single"/>
              </w:rPr>
              <w:t xml:space="preserve"> </w:t>
            </w:r>
            <w:r w:rsidR="00F0440D" w:rsidRPr="00934A54">
              <w:rPr>
                <w:szCs w:val="26"/>
                <w:u w:val="single"/>
              </w:rPr>
              <w:t>201</w:t>
            </w:r>
            <w:r w:rsidR="007C6994" w:rsidRPr="00934A54">
              <w:rPr>
                <w:szCs w:val="26"/>
                <w:u w:val="single"/>
              </w:rPr>
              <w:t>9</w:t>
            </w:r>
            <w:r w:rsidR="00F0440D" w:rsidRPr="00934A54">
              <w:rPr>
                <w:szCs w:val="26"/>
                <w:u w:val="single"/>
              </w:rPr>
              <w:t xml:space="preserve"> г.</w:t>
            </w:r>
          </w:p>
          <w:p w:rsidR="00F0440D" w:rsidRPr="00BE3CB5" w:rsidRDefault="00F0440D" w:rsidP="00AD3AE8">
            <w:pPr>
              <w:rPr>
                <w:sz w:val="22"/>
                <w:szCs w:val="22"/>
              </w:rPr>
            </w:pPr>
            <w:r w:rsidRPr="00BE3CB5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26" w:type="dxa"/>
          </w:tcPr>
          <w:p w:rsidR="00F0440D" w:rsidRDefault="00F0440D" w:rsidP="00AD3AE8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0440D" w:rsidRPr="00BE3CB5" w:rsidRDefault="00290F41" w:rsidP="00290F41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 xml:space="preserve">      </w:t>
            </w:r>
            <w:r w:rsidR="003D4965">
              <w:rPr>
                <w:sz w:val="24"/>
              </w:rPr>
              <w:t xml:space="preserve">                          </w:t>
            </w:r>
            <w:r w:rsidR="00F0440D" w:rsidRPr="00BE3CB5">
              <w:rPr>
                <w:szCs w:val="26"/>
              </w:rPr>
              <w:t xml:space="preserve">№ </w:t>
            </w:r>
            <w:r w:rsidR="00BE76D2">
              <w:rPr>
                <w:szCs w:val="26"/>
              </w:rPr>
              <w:t xml:space="preserve"> </w:t>
            </w:r>
            <w:r w:rsidR="003D4965">
              <w:rPr>
                <w:szCs w:val="26"/>
              </w:rPr>
              <w:t xml:space="preserve"> </w:t>
            </w:r>
            <w:r w:rsidR="00934A54">
              <w:rPr>
                <w:szCs w:val="26"/>
              </w:rPr>
              <w:t>88-р</w:t>
            </w:r>
            <w:r w:rsidR="003D4965">
              <w:rPr>
                <w:szCs w:val="26"/>
              </w:rPr>
              <w:t xml:space="preserve"> </w:t>
            </w:r>
            <w:r w:rsidR="00BE76D2">
              <w:rPr>
                <w:szCs w:val="26"/>
              </w:rPr>
              <w:t xml:space="preserve">     </w:t>
            </w:r>
            <w:r w:rsidR="00F0440D" w:rsidRPr="00BE3CB5">
              <w:rPr>
                <w:szCs w:val="26"/>
              </w:rPr>
              <w:t xml:space="preserve"> </w:t>
            </w:r>
          </w:p>
          <w:p w:rsidR="00F0440D" w:rsidRDefault="00F0440D" w:rsidP="00AD3AE8">
            <w:pPr>
              <w:jc w:val="center"/>
              <w:rPr>
                <w:sz w:val="24"/>
              </w:rPr>
            </w:pPr>
          </w:p>
          <w:p w:rsidR="00F0440D" w:rsidRDefault="00F0440D" w:rsidP="00AD3AE8">
            <w:pPr>
              <w:jc w:val="center"/>
              <w:rPr>
                <w:b/>
                <w:sz w:val="24"/>
              </w:rPr>
            </w:pPr>
          </w:p>
        </w:tc>
      </w:tr>
    </w:tbl>
    <w:p w:rsidR="00F0440D" w:rsidRDefault="00F0440D" w:rsidP="00F0440D">
      <w:pPr>
        <w:tabs>
          <w:tab w:val="left" w:pos="-3828"/>
        </w:tabs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F0440D" w:rsidTr="003D4965">
        <w:trPr>
          <w:trHeight w:val="496"/>
        </w:trPr>
        <w:tc>
          <w:tcPr>
            <w:tcW w:w="4536" w:type="dxa"/>
          </w:tcPr>
          <w:p w:rsidR="00F0440D" w:rsidRPr="00DD70E9" w:rsidRDefault="00BE76D2" w:rsidP="003D4965">
            <w:pPr>
              <w:jc w:val="both"/>
              <w:outlineLv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О сроках представления ежемесячной бюджетной отчетности в 2019 году</w:t>
            </w:r>
          </w:p>
        </w:tc>
      </w:tr>
    </w:tbl>
    <w:p w:rsidR="00F0440D" w:rsidRDefault="00F0440D" w:rsidP="00F0440D">
      <w:pPr>
        <w:tabs>
          <w:tab w:val="left" w:pos="-3828"/>
          <w:tab w:val="left" w:pos="0"/>
        </w:tabs>
        <w:jc w:val="both"/>
        <w:rPr>
          <w:sz w:val="28"/>
        </w:rPr>
      </w:pPr>
    </w:p>
    <w:p w:rsidR="003D4965" w:rsidRDefault="003D4965" w:rsidP="00F0440D">
      <w:pPr>
        <w:tabs>
          <w:tab w:val="left" w:pos="-3828"/>
          <w:tab w:val="left" w:pos="0"/>
        </w:tabs>
        <w:jc w:val="both"/>
        <w:rPr>
          <w:sz w:val="28"/>
        </w:rPr>
      </w:pPr>
    </w:p>
    <w:p w:rsidR="00632972" w:rsidRDefault="00F0440D" w:rsidP="00F0440D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 Руководствуясь статьями 158, 160.1, 160.2 Бюджетного кодекса Российской Федерации, приказами Министерства финансов Россий</w:t>
      </w:r>
      <w:r w:rsidR="00290F41">
        <w:rPr>
          <w:szCs w:val="26"/>
        </w:rPr>
        <w:t xml:space="preserve">ской Федерации от 28.12.2010 </w:t>
      </w:r>
      <w:r>
        <w:rPr>
          <w:szCs w:val="26"/>
        </w:rPr>
        <w:t>№</w:t>
      </w:r>
      <w:r w:rsidR="00290F41">
        <w:rPr>
          <w:szCs w:val="26"/>
        </w:rPr>
        <w:t xml:space="preserve"> </w:t>
      </w:r>
      <w:r>
        <w:rPr>
          <w:szCs w:val="26"/>
        </w:rPr>
        <w:t>191н «Об утверждении</w:t>
      </w:r>
      <w:r w:rsidRPr="00322D5A">
        <w:rPr>
          <w:szCs w:val="26"/>
        </w:rPr>
        <w:t xml:space="preserve"> Инструкци</w:t>
      </w:r>
      <w:r>
        <w:rPr>
          <w:szCs w:val="26"/>
        </w:rPr>
        <w:t>и</w:t>
      </w:r>
      <w:r w:rsidRPr="00322D5A">
        <w:rPr>
          <w:szCs w:val="26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</w:t>
      </w:r>
      <w:r>
        <w:rPr>
          <w:szCs w:val="26"/>
        </w:rPr>
        <w:t xml:space="preserve"> Российской Федерации» </w:t>
      </w:r>
    </w:p>
    <w:p w:rsidR="00F0440D" w:rsidRDefault="00F0440D" w:rsidP="00F0440D">
      <w:pPr>
        <w:tabs>
          <w:tab w:val="left" w:pos="-3828"/>
        </w:tabs>
        <w:jc w:val="both"/>
        <w:rPr>
          <w:szCs w:val="26"/>
        </w:rPr>
      </w:pPr>
    </w:p>
    <w:p w:rsidR="003D4965" w:rsidRDefault="003D4965" w:rsidP="00F0440D">
      <w:pPr>
        <w:tabs>
          <w:tab w:val="left" w:pos="-3828"/>
        </w:tabs>
        <w:jc w:val="both"/>
        <w:rPr>
          <w:szCs w:val="26"/>
        </w:rPr>
      </w:pPr>
    </w:p>
    <w:p w:rsidR="00F0440D" w:rsidRPr="00322D5A" w:rsidRDefault="00F0440D" w:rsidP="00F0440D">
      <w:pPr>
        <w:ind w:firstLine="540"/>
        <w:jc w:val="both"/>
        <w:outlineLvl w:val="0"/>
        <w:rPr>
          <w:szCs w:val="26"/>
        </w:rPr>
      </w:pPr>
      <w:r w:rsidRPr="00322D5A">
        <w:rPr>
          <w:szCs w:val="26"/>
        </w:rPr>
        <w:t xml:space="preserve">1. Установить сроки сдачи </w:t>
      </w:r>
      <w:r w:rsidR="001D100C">
        <w:rPr>
          <w:szCs w:val="26"/>
        </w:rPr>
        <w:t>еже</w:t>
      </w:r>
      <w:r>
        <w:rPr>
          <w:szCs w:val="26"/>
        </w:rPr>
        <w:t>месячной бюджетной отчетности на</w:t>
      </w:r>
      <w:r w:rsidRPr="00322D5A">
        <w:rPr>
          <w:szCs w:val="26"/>
        </w:rPr>
        <w:t xml:space="preserve"> 20</w:t>
      </w:r>
      <w:r>
        <w:rPr>
          <w:szCs w:val="26"/>
        </w:rPr>
        <w:t>1</w:t>
      </w:r>
      <w:r w:rsidR="00632972">
        <w:rPr>
          <w:szCs w:val="26"/>
        </w:rPr>
        <w:t>9</w:t>
      </w:r>
      <w:r>
        <w:rPr>
          <w:szCs w:val="26"/>
        </w:rPr>
        <w:t xml:space="preserve"> </w:t>
      </w:r>
      <w:r w:rsidRPr="00322D5A">
        <w:rPr>
          <w:szCs w:val="26"/>
        </w:rPr>
        <w:t xml:space="preserve">год для </w:t>
      </w:r>
      <w:r>
        <w:rPr>
          <w:szCs w:val="26"/>
        </w:rPr>
        <w:t xml:space="preserve">главных распорядителей, распорядителей, получателей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бюджетов, </w:t>
      </w:r>
      <w:r w:rsidRPr="00C56613">
        <w:rPr>
          <w:szCs w:val="26"/>
        </w:rPr>
        <w:t>главных распорядителей (распорядителей) бюджетных средств, осуществляющих функции и полномочия учредителя</w:t>
      </w:r>
      <w:r>
        <w:rPr>
          <w:szCs w:val="26"/>
        </w:rPr>
        <w:t>,</w:t>
      </w:r>
      <w:r w:rsidRPr="00C56613">
        <w:rPr>
          <w:sz w:val="24"/>
          <w:szCs w:val="24"/>
        </w:rPr>
        <w:t xml:space="preserve"> </w:t>
      </w:r>
      <w:r w:rsidRPr="00112C5E">
        <w:rPr>
          <w:szCs w:val="26"/>
        </w:rPr>
        <w:t>на основании</w:t>
      </w:r>
      <w:r>
        <w:rPr>
          <w:sz w:val="24"/>
          <w:szCs w:val="24"/>
        </w:rPr>
        <w:t xml:space="preserve"> </w:t>
      </w:r>
      <w:r>
        <w:rPr>
          <w:szCs w:val="26"/>
        </w:rPr>
        <w:t>представленной</w:t>
      </w:r>
      <w:r w:rsidRPr="00C56613">
        <w:rPr>
          <w:szCs w:val="26"/>
        </w:rPr>
        <w:t xml:space="preserve"> </w:t>
      </w:r>
      <w:r w:rsidR="00716821">
        <w:rPr>
          <w:szCs w:val="26"/>
        </w:rPr>
        <w:t xml:space="preserve">бухгалтерской </w:t>
      </w:r>
      <w:r w:rsidRPr="00C56613">
        <w:rPr>
          <w:szCs w:val="26"/>
        </w:rPr>
        <w:t>отчет</w:t>
      </w:r>
      <w:r>
        <w:rPr>
          <w:szCs w:val="26"/>
        </w:rPr>
        <w:t>ности бюджетными и автономными учреждениями</w:t>
      </w:r>
      <w:r w:rsidR="00290F41">
        <w:rPr>
          <w:szCs w:val="26"/>
        </w:rPr>
        <w:t xml:space="preserve"> </w:t>
      </w:r>
      <w:r>
        <w:rPr>
          <w:szCs w:val="26"/>
        </w:rPr>
        <w:t xml:space="preserve">(Приложение </w:t>
      </w:r>
      <w:r w:rsidRPr="00322D5A">
        <w:rPr>
          <w:szCs w:val="26"/>
        </w:rPr>
        <w:t xml:space="preserve"> 1).</w:t>
      </w:r>
    </w:p>
    <w:p w:rsidR="00F0440D" w:rsidRDefault="00F0440D" w:rsidP="00F0440D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 </w:t>
      </w:r>
      <w:r w:rsidRPr="00322D5A">
        <w:rPr>
          <w:szCs w:val="26"/>
        </w:rPr>
        <w:t xml:space="preserve">2. Утвердить состав </w:t>
      </w:r>
      <w:r w:rsidR="001D100C">
        <w:rPr>
          <w:szCs w:val="26"/>
        </w:rPr>
        <w:t>еже</w:t>
      </w:r>
      <w:r w:rsidR="00632972">
        <w:rPr>
          <w:szCs w:val="26"/>
        </w:rPr>
        <w:t xml:space="preserve">месячной </w:t>
      </w:r>
      <w:r>
        <w:rPr>
          <w:szCs w:val="26"/>
        </w:rPr>
        <w:t xml:space="preserve">бюджетной </w:t>
      </w:r>
      <w:r w:rsidRPr="00322D5A">
        <w:rPr>
          <w:szCs w:val="26"/>
        </w:rPr>
        <w:t xml:space="preserve">отчетности для </w:t>
      </w:r>
      <w:r>
        <w:rPr>
          <w:szCs w:val="26"/>
        </w:rPr>
        <w:t>главных распорядителей, распорядителей, получателей бюджетных средств, главных администраторов, администраторов доходов бюджета,</w:t>
      </w:r>
      <w:r w:rsidRPr="004C0F0F">
        <w:rPr>
          <w:szCs w:val="26"/>
        </w:rPr>
        <w:t xml:space="preserve"> </w:t>
      </w:r>
      <w:r>
        <w:rPr>
          <w:szCs w:val="26"/>
        </w:rPr>
        <w:t>администраторов доходов бюджета,</w:t>
      </w:r>
      <w:r w:rsidRPr="004C0F0F">
        <w:rPr>
          <w:szCs w:val="26"/>
        </w:rPr>
        <w:t xml:space="preserve"> </w:t>
      </w:r>
      <w:r>
        <w:rPr>
          <w:szCs w:val="26"/>
        </w:rPr>
        <w:t xml:space="preserve">главных администраторов источников финансирования дефицита бюджета (Приложение </w:t>
      </w:r>
      <w:r w:rsidRPr="00322D5A">
        <w:rPr>
          <w:szCs w:val="26"/>
        </w:rPr>
        <w:t xml:space="preserve"> 2</w:t>
      </w:r>
      <w:r>
        <w:rPr>
          <w:szCs w:val="26"/>
        </w:rPr>
        <w:t>).</w:t>
      </w:r>
    </w:p>
    <w:p w:rsidR="00F0440D" w:rsidRDefault="008834F5" w:rsidP="00F0440D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3</w:t>
      </w:r>
      <w:r w:rsidR="00F0440D">
        <w:rPr>
          <w:szCs w:val="26"/>
        </w:rPr>
        <w:t>. Распоряжение подлежит р</w:t>
      </w:r>
      <w:r w:rsidR="00290F41">
        <w:rPr>
          <w:szCs w:val="26"/>
        </w:rPr>
        <w:t>азмещению на официальном сайте у</w:t>
      </w:r>
      <w:r w:rsidR="00F0440D">
        <w:rPr>
          <w:szCs w:val="26"/>
        </w:rPr>
        <w:t>правления финансов муниципального района «Печора» в разделе «Нормативная база».</w:t>
      </w:r>
    </w:p>
    <w:p w:rsidR="00F0440D" w:rsidRPr="00322D5A" w:rsidRDefault="008834F5" w:rsidP="00F0440D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4</w:t>
      </w:r>
      <w:r w:rsidR="00F0440D" w:rsidRPr="00322D5A">
        <w:rPr>
          <w:szCs w:val="26"/>
        </w:rPr>
        <w:t>. Контроль за исполнением расп</w:t>
      </w:r>
      <w:r w:rsidR="00F0440D">
        <w:rPr>
          <w:szCs w:val="26"/>
        </w:rPr>
        <w:t>оряжения возложить на у</w:t>
      </w:r>
      <w:r w:rsidR="00F0440D" w:rsidRPr="00322D5A">
        <w:rPr>
          <w:szCs w:val="26"/>
        </w:rPr>
        <w:t>правле</w:t>
      </w:r>
      <w:r w:rsidR="00F0440D">
        <w:rPr>
          <w:szCs w:val="26"/>
        </w:rPr>
        <w:t>ние финансов муниципального района «Печора»</w:t>
      </w:r>
      <w:r w:rsidR="005D10E2">
        <w:rPr>
          <w:szCs w:val="26"/>
        </w:rPr>
        <w:t>.</w:t>
      </w:r>
    </w:p>
    <w:p w:rsidR="00F0440D" w:rsidRDefault="00F0440D" w:rsidP="00F0440D">
      <w:pPr>
        <w:tabs>
          <w:tab w:val="left" w:pos="-3828"/>
        </w:tabs>
        <w:jc w:val="both"/>
        <w:rPr>
          <w:szCs w:val="26"/>
        </w:rPr>
      </w:pPr>
    </w:p>
    <w:p w:rsidR="008834F5" w:rsidRDefault="008834F5" w:rsidP="00F0440D">
      <w:pPr>
        <w:tabs>
          <w:tab w:val="left" w:pos="-3828"/>
        </w:tabs>
        <w:jc w:val="both"/>
        <w:rPr>
          <w:szCs w:val="26"/>
        </w:rPr>
      </w:pPr>
    </w:p>
    <w:p w:rsidR="008834F5" w:rsidRPr="001F0C2B" w:rsidRDefault="008834F5" w:rsidP="00F0440D">
      <w:pPr>
        <w:tabs>
          <w:tab w:val="left" w:pos="-3828"/>
        </w:tabs>
        <w:jc w:val="both"/>
        <w:rPr>
          <w:szCs w:val="26"/>
        </w:rPr>
      </w:pPr>
    </w:p>
    <w:p w:rsidR="00680B41" w:rsidRDefault="006B2B16" w:rsidP="00C748D3">
      <w:r>
        <w:t>Глава муниципального района –</w:t>
      </w:r>
    </w:p>
    <w:p w:rsidR="006B2B16" w:rsidRDefault="006B2B16" w:rsidP="00C748D3">
      <w:r>
        <w:t>руководитель администрации                                                                    Н.Н. Паншина</w:t>
      </w:r>
    </w:p>
    <w:p w:rsidR="00934A54" w:rsidRDefault="00934A54" w:rsidP="00C748D3"/>
    <w:p w:rsidR="00934A54" w:rsidRPr="007015CD" w:rsidRDefault="00934A54" w:rsidP="00934A54">
      <w:pPr>
        <w:tabs>
          <w:tab w:val="left" w:pos="-3828"/>
          <w:tab w:val="left" w:pos="567"/>
        </w:tabs>
        <w:jc w:val="right"/>
        <w:rPr>
          <w:szCs w:val="26"/>
        </w:rPr>
      </w:pPr>
      <w:r w:rsidRPr="007015CD">
        <w:rPr>
          <w:sz w:val="28"/>
        </w:rPr>
        <w:lastRenderedPageBreak/>
        <w:t xml:space="preserve">                                                                                      </w:t>
      </w:r>
      <w:r w:rsidRPr="007015CD">
        <w:rPr>
          <w:szCs w:val="26"/>
        </w:rPr>
        <w:t>Приложение 1</w:t>
      </w:r>
    </w:p>
    <w:p w:rsidR="00934A54" w:rsidRPr="00EF0412" w:rsidRDefault="00934A54" w:rsidP="00E6534A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 xml:space="preserve">   </w:t>
      </w:r>
      <w:r w:rsidR="00E6534A">
        <w:rPr>
          <w:szCs w:val="26"/>
        </w:rPr>
        <w:t xml:space="preserve">                              </w:t>
      </w:r>
      <w:r>
        <w:rPr>
          <w:szCs w:val="26"/>
        </w:rPr>
        <w:t xml:space="preserve">  </w:t>
      </w:r>
      <w:r w:rsidRPr="00EF0412">
        <w:rPr>
          <w:szCs w:val="26"/>
        </w:rPr>
        <w:t>к распоряжению</w:t>
      </w:r>
      <w:bookmarkStart w:id="0" w:name="_GoBack"/>
      <w:bookmarkEnd w:id="0"/>
      <w:r>
        <w:rPr>
          <w:szCs w:val="26"/>
        </w:rPr>
        <w:t xml:space="preserve">  </w:t>
      </w:r>
      <w:r w:rsidRPr="00EF0412">
        <w:rPr>
          <w:szCs w:val="26"/>
        </w:rPr>
        <w:t>администрации МР «Печора»</w:t>
      </w:r>
    </w:p>
    <w:p w:rsidR="00934A54" w:rsidRDefault="00934A54" w:rsidP="00934A54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« 04   » февраля </w:t>
      </w:r>
      <w:r w:rsidRPr="00EF0412">
        <w:rPr>
          <w:szCs w:val="26"/>
        </w:rPr>
        <w:t>201</w:t>
      </w:r>
      <w:r>
        <w:rPr>
          <w:szCs w:val="26"/>
        </w:rPr>
        <w:t xml:space="preserve">9 </w:t>
      </w:r>
      <w:r w:rsidRPr="00EF0412">
        <w:rPr>
          <w:szCs w:val="26"/>
        </w:rPr>
        <w:t>г.  №</w:t>
      </w:r>
      <w:r>
        <w:rPr>
          <w:szCs w:val="26"/>
        </w:rPr>
        <w:t xml:space="preserve">  88-р</w:t>
      </w:r>
    </w:p>
    <w:p w:rsidR="00934A54" w:rsidRPr="00BB13D0" w:rsidRDefault="00934A54" w:rsidP="00934A54">
      <w:pPr>
        <w:tabs>
          <w:tab w:val="left" w:pos="-3828"/>
        </w:tabs>
        <w:jc w:val="right"/>
        <w:rPr>
          <w:b/>
          <w:sz w:val="22"/>
          <w:szCs w:val="22"/>
        </w:rPr>
      </w:pPr>
    </w:p>
    <w:p w:rsidR="00934A54" w:rsidRDefault="00934A54" w:rsidP="00934A54">
      <w:pPr>
        <w:tabs>
          <w:tab w:val="left" w:pos="-3828"/>
        </w:tabs>
        <w:jc w:val="center"/>
        <w:rPr>
          <w:b/>
          <w:szCs w:val="26"/>
        </w:rPr>
      </w:pPr>
    </w:p>
    <w:p w:rsidR="00934A54" w:rsidRDefault="00934A54" w:rsidP="00934A54">
      <w:pPr>
        <w:tabs>
          <w:tab w:val="left" w:pos="-3828"/>
        </w:tabs>
        <w:jc w:val="center"/>
        <w:rPr>
          <w:b/>
          <w:szCs w:val="26"/>
        </w:rPr>
      </w:pPr>
      <w:r>
        <w:rPr>
          <w:b/>
          <w:szCs w:val="26"/>
        </w:rPr>
        <w:t>СРОК СДАЧИ ОТЧЕТНОСТИ</w:t>
      </w:r>
    </w:p>
    <w:p w:rsidR="00934A54" w:rsidRPr="006F6173" w:rsidRDefault="00934A54" w:rsidP="00934A54">
      <w:pPr>
        <w:tabs>
          <w:tab w:val="left" w:pos="-3828"/>
        </w:tabs>
        <w:jc w:val="center"/>
        <w:rPr>
          <w:b/>
          <w:szCs w:val="26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2"/>
        <w:gridCol w:w="1559"/>
        <w:gridCol w:w="1350"/>
      </w:tblGrid>
      <w:tr w:rsidR="00934A54" w:rsidRPr="00C02D62" w:rsidTr="00C101BE">
        <w:trPr>
          <w:trHeight w:val="182"/>
          <w:tblHeader/>
        </w:trPr>
        <w:tc>
          <w:tcPr>
            <w:tcW w:w="9231" w:type="dxa"/>
            <w:gridSpan w:val="3"/>
          </w:tcPr>
          <w:p w:rsidR="00934A54" w:rsidRPr="00134A4D" w:rsidRDefault="00934A54" w:rsidP="00C101BE">
            <w:pPr>
              <w:tabs>
                <w:tab w:val="left" w:pos="-3828"/>
              </w:tabs>
              <w:jc w:val="center"/>
              <w:rPr>
                <w:szCs w:val="26"/>
              </w:rPr>
            </w:pPr>
            <w:r w:rsidRPr="00134A4D">
              <w:rPr>
                <w:i/>
                <w:szCs w:val="26"/>
              </w:rPr>
              <w:t xml:space="preserve">Срок </w:t>
            </w:r>
            <w:r>
              <w:rPr>
                <w:i/>
                <w:szCs w:val="26"/>
              </w:rPr>
              <w:t>сдачи отчет</w:t>
            </w:r>
            <w:r w:rsidRPr="00134A4D">
              <w:rPr>
                <w:i/>
                <w:szCs w:val="26"/>
              </w:rPr>
              <w:t>но</w:t>
            </w:r>
            <w:r>
              <w:rPr>
                <w:i/>
                <w:szCs w:val="26"/>
              </w:rPr>
              <w:t>с</w:t>
            </w:r>
            <w:r w:rsidRPr="00134A4D">
              <w:rPr>
                <w:i/>
                <w:szCs w:val="26"/>
              </w:rPr>
              <w:t>ти (число)</w:t>
            </w:r>
          </w:p>
        </w:tc>
      </w:tr>
      <w:tr w:rsidR="00934A54" w:rsidRPr="00C02D62" w:rsidTr="00C101BE">
        <w:trPr>
          <w:trHeight w:val="566"/>
          <w:tblHeader/>
        </w:trPr>
        <w:tc>
          <w:tcPr>
            <w:tcW w:w="6345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1560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Оперативные сведения ежемесячно</w:t>
            </w:r>
          </w:p>
        </w:tc>
        <w:tc>
          <w:tcPr>
            <w:tcW w:w="1326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Ежемесячная отчетность</w:t>
            </w:r>
          </w:p>
        </w:tc>
      </w:tr>
      <w:tr w:rsidR="00934A54" w:rsidRPr="00C02D62" w:rsidTr="00C101BE">
        <w:trPr>
          <w:trHeight w:val="247"/>
          <w:tblHeader/>
        </w:trPr>
        <w:tc>
          <w:tcPr>
            <w:tcW w:w="6345" w:type="dxa"/>
            <w:vAlign w:val="center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i/>
                <w:sz w:val="20"/>
              </w:rPr>
            </w:pPr>
            <w:r w:rsidRPr="00C02D62">
              <w:rPr>
                <w:i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i/>
                <w:sz w:val="20"/>
              </w:rPr>
            </w:pPr>
            <w:r w:rsidRPr="00C02D62">
              <w:rPr>
                <w:i/>
                <w:sz w:val="20"/>
              </w:rPr>
              <w:t>2</w:t>
            </w:r>
          </w:p>
        </w:tc>
        <w:tc>
          <w:tcPr>
            <w:tcW w:w="1326" w:type="dxa"/>
            <w:vAlign w:val="center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</w:tr>
      <w:tr w:rsidR="00934A54" w:rsidRPr="00C02D62" w:rsidTr="00C101BE">
        <w:trPr>
          <w:trHeight w:val="448"/>
        </w:trPr>
        <w:tc>
          <w:tcPr>
            <w:tcW w:w="6345" w:type="dxa"/>
          </w:tcPr>
          <w:p w:rsidR="00934A54" w:rsidRPr="00EF0412" w:rsidRDefault="00934A54" w:rsidP="00C101B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Администрация муниципального района «Печора»</w:t>
            </w:r>
          </w:p>
        </w:tc>
        <w:tc>
          <w:tcPr>
            <w:tcW w:w="1560" w:type="dxa"/>
          </w:tcPr>
          <w:p w:rsidR="00934A54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4A54" w:rsidRPr="00C02D62" w:rsidTr="00C101BE">
        <w:trPr>
          <w:trHeight w:val="448"/>
        </w:trPr>
        <w:tc>
          <w:tcPr>
            <w:tcW w:w="6345" w:type="dxa"/>
          </w:tcPr>
          <w:p w:rsidR="00934A54" w:rsidRPr="00EF0412" w:rsidRDefault="00934A54" w:rsidP="00C101B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Совет муниципального района «Печора»</w:t>
            </w:r>
          </w:p>
        </w:tc>
        <w:tc>
          <w:tcPr>
            <w:tcW w:w="1560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4A54" w:rsidRPr="00C02D62" w:rsidTr="00C101BE">
        <w:trPr>
          <w:trHeight w:val="448"/>
        </w:trPr>
        <w:tc>
          <w:tcPr>
            <w:tcW w:w="6345" w:type="dxa"/>
          </w:tcPr>
          <w:p w:rsidR="00934A54" w:rsidRPr="00EF0412" w:rsidRDefault="00934A54" w:rsidP="00C101B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1560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4A54" w:rsidRPr="00C02D62" w:rsidTr="00C101BE">
        <w:trPr>
          <w:trHeight w:val="448"/>
        </w:trPr>
        <w:tc>
          <w:tcPr>
            <w:tcW w:w="6345" w:type="dxa"/>
          </w:tcPr>
          <w:p w:rsidR="00934A54" w:rsidRPr="00EF0412" w:rsidRDefault="00934A54" w:rsidP="00C101B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финансов муниципального района «Печора»</w:t>
            </w:r>
          </w:p>
        </w:tc>
        <w:tc>
          <w:tcPr>
            <w:tcW w:w="1560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4A54" w:rsidRPr="00C02D62" w:rsidTr="00C101BE">
        <w:trPr>
          <w:trHeight w:val="448"/>
        </w:trPr>
        <w:tc>
          <w:tcPr>
            <w:tcW w:w="6345" w:type="dxa"/>
          </w:tcPr>
          <w:p w:rsidR="00934A54" w:rsidRPr="00EF0412" w:rsidRDefault="00934A54" w:rsidP="00C101B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муниципального района «Печора»</w:t>
            </w:r>
          </w:p>
        </w:tc>
        <w:tc>
          <w:tcPr>
            <w:tcW w:w="1560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4A54" w:rsidRPr="00C02D62" w:rsidTr="00C101BE">
        <w:trPr>
          <w:trHeight w:val="448"/>
        </w:trPr>
        <w:tc>
          <w:tcPr>
            <w:tcW w:w="6345" w:type="dxa"/>
            <w:vAlign w:val="center"/>
          </w:tcPr>
          <w:p w:rsidR="00934A54" w:rsidRPr="00FF34A1" w:rsidRDefault="00934A54" w:rsidP="00C101BE">
            <w:pPr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культуры и туризма муниципального района «Печора»</w:t>
            </w:r>
          </w:p>
        </w:tc>
        <w:tc>
          <w:tcPr>
            <w:tcW w:w="1560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4A54" w:rsidRPr="00C02D62" w:rsidTr="00C101BE">
        <w:trPr>
          <w:trHeight w:val="673"/>
        </w:trPr>
        <w:tc>
          <w:tcPr>
            <w:tcW w:w="6345" w:type="dxa"/>
          </w:tcPr>
          <w:p w:rsidR="00934A54" w:rsidRPr="00EF0412" w:rsidRDefault="00934A54" w:rsidP="00C101B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Комитет по управлению муниципальной собственностью муниципального района «Печора»</w:t>
            </w:r>
          </w:p>
        </w:tc>
        <w:tc>
          <w:tcPr>
            <w:tcW w:w="1560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</w:tcPr>
          <w:p w:rsidR="00934A54" w:rsidRPr="00C02D62" w:rsidRDefault="00934A54" w:rsidP="00C101BE">
            <w:pPr>
              <w:tabs>
                <w:tab w:val="left" w:pos="-38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34A54" w:rsidRPr="00BB13D0" w:rsidRDefault="00934A54" w:rsidP="00934A54">
      <w:pPr>
        <w:tabs>
          <w:tab w:val="left" w:pos="-3828"/>
        </w:tabs>
        <w:jc w:val="right"/>
        <w:rPr>
          <w:b/>
          <w:sz w:val="22"/>
          <w:szCs w:val="22"/>
        </w:rPr>
      </w:pPr>
    </w:p>
    <w:p w:rsidR="00934A54" w:rsidRDefault="00934A54" w:rsidP="00934A54">
      <w:pPr>
        <w:tabs>
          <w:tab w:val="left" w:pos="-3828"/>
        </w:tabs>
        <w:jc w:val="right"/>
        <w:rPr>
          <w:b/>
          <w:sz w:val="22"/>
          <w:szCs w:val="22"/>
        </w:rPr>
      </w:pPr>
    </w:p>
    <w:p w:rsidR="00934A54" w:rsidRDefault="00934A54" w:rsidP="00934A54">
      <w:pPr>
        <w:tabs>
          <w:tab w:val="left" w:pos="-3828"/>
        </w:tabs>
        <w:jc w:val="right"/>
        <w:rPr>
          <w:b/>
          <w:sz w:val="22"/>
          <w:szCs w:val="22"/>
        </w:rPr>
      </w:pPr>
    </w:p>
    <w:p w:rsidR="00934A54" w:rsidRDefault="00934A54" w:rsidP="00934A54">
      <w:pPr>
        <w:tabs>
          <w:tab w:val="left" w:pos="-382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</w:p>
    <w:p w:rsidR="00934A54" w:rsidRDefault="00934A54" w:rsidP="00934A54">
      <w:pPr>
        <w:tabs>
          <w:tab w:val="left" w:pos="-3828"/>
        </w:tabs>
        <w:jc w:val="right"/>
        <w:rPr>
          <w:b/>
          <w:sz w:val="22"/>
          <w:szCs w:val="22"/>
        </w:rPr>
      </w:pPr>
    </w:p>
    <w:p w:rsidR="00934A54" w:rsidRDefault="00934A54" w:rsidP="00934A54">
      <w:pPr>
        <w:tabs>
          <w:tab w:val="left" w:pos="-3828"/>
        </w:tabs>
        <w:jc w:val="right"/>
        <w:rPr>
          <w:b/>
          <w:sz w:val="22"/>
          <w:szCs w:val="22"/>
        </w:rPr>
      </w:pPr>
    </w:p>
    <w:p w:rsidR="00934A54" w:rsidRDefault="00934A54" w:rsidP="00C748D3"/>
    <w:p w:rsidR="00934A54" w:rsidRDefault="00934A54" w:rsidP="00C748D3"/>
    <w:sectPr w:rsidR="00934A54" w:rsidSect="003D49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326"/>
    <w:rsid w:val="001121EE"/>
    <w:rsid w:val="00161134"/>
    <w:rsid w:val="00190326"/>
    <w:rsid w:val="001D100C"/>
    <w:rsid w:val="002153FD"/>
    <w:rsid w:val="00290F41"/>
    <w:rsid w:val="002F6C70"/>
    <w:rsid w:val="003D4965"/>
    <w:rsid w:val="005D10E2"/>
    <w:rsid w:val="005E07B5"/>
    <w:rsid w:val="00632972"/>
    <w:rsid w:val="00680B41"/>
    <w:rsid w:val="006B2B16"/>
    <w:rsid w:val="00716821"/>
    <w:rsid w:val="0077709B"/>
    <w:rsid w:val="007C6994"/>
    <w:rsid w:val="008834F5"/>
    <w:rsid w:val="0093165C"/>
    <w:rsid w:val="00934A54"/>
    <w:rsid w:val="00A73E66"/>
    <w:rsid w:val="00BE76D2"/>
    <w:rsid w:val="00C041CD"/>
    <w:rsid w:val="00C748D3"/>
    <w:rsid w:val="00D30C51"/>
    <w:rsid w:val="00D45C74"/>
    <w:rsid w:val="00E6534A"/>
    <w:rsid w:val="00F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440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440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Меньшикова НМ</cp:lastModifiedBy>
  <cp:revision>10</cp:revision>
  <cp:lastPrinted>2019-02-04T11:46:00Z</cp:lastPrinted>
  <dcterms:created xsi:type="dcterms:W3CDTF">2019-01-31T09:56:00Z</dcterms:created>
  <dcterms:modified xsi:type="dcterms:W3CDTF">2019-02-04T11:47:00Z</dcterms:modified>
</cp:coreProperties>
</file>