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</w:t>
            </w:r>
            <w:r w:rsidR="00F27EA7">
              <w:rPr>
                <w:sz w:val="28"/>
                <w:szCs w:val="28"/>
                <w:u w:val="single"/>
              </w:rPr>
              <w:t>26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652C8C">
              <w:rPr>
                <w:sz w:val="28"/>
                <w:szCs w:val="28"/>
                <w:u w:val="single"/>
              </w:rPr>
              <w:t xml:space="preserve">сентября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F16880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880">
              <w:rPr>
                <w:sz w:val="24"/>
                <w:szCs w:val="24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F27EA7">
              <w:rPr>
                <w:bCs/>
                <w:sz w:val="28"/>
                <w:szCs w:val="28"/>
              </w:rPr>
              <w:t>1193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66B04" w:rsidRDefault="00366B04" w:rsidP="00BD733C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366B04" w:rsidTr="00366B04">
        <w:trPr>
          <w:trHeight w:val="2183"/>
        </w:trPr>
        <w:tc>
          <w:tcPr>
            <w:tcW w:w="5889" w:type="dxa"/>
          </w:tcPr>
          <w:p w:rsidR="00366B04" w:rsidRDefault="00366B04" w:rsidP="00366B0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составе, порядке подготовки генерального плана МР «Печора», порядке  подготовки изменений и внесения их в генеральный план МР «Печора» и о составе, порядке подготовки плана реализации генерального плана МР «Печора»</w:t>
            </w:r>
          </w:p>
        </w:tc>
      </w:tr>
    </w:tbl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652C8C">
        <w:rPr>
          <w:sz w:val="28"/>
          <w:szCs w:val="28"/>
        </w:rPr>
        <w:t>Градостроит</w:t>
      </w:r>
      <w:r w:rsidR="00C041C6">
        <w:rPr>
          <w:sz w:val="28"/>
          <w:szCs w:val="28"/>
        </w:rPr>
        <w:t>ельным</w:t>
      </w:r>
      <w:r w:rsidR="00C7027C" w:rsidRPr="00C70275">
        <w:rPr>
          <w:sz w:val="28"/>
          <w:szCs w:val="28"/>
        </w:rPr>
        <w:t xml:space="preserve"> кодексом Российской Федерации,</w:t>
      </w:r>
      <w:r w:rsidR="00C041C6">
        <w:rPr>
          <w:sz w:val="28"/>
          <w:szCs w:val="28"/>
        </w:rPr>
        <w:t xml:space="preserve">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 xml:space="preserve">от </w:t>
      </w:r>
      <w:r w:rsidR="00074C51">
        <w:rPr>
          <w:sz w:val="28"/>
          <w:szCs w:val="28"/>
        </w:rPr>
        <w:t>06.10.2003</w:t>
      </w:r>
      <w:r w:rsidR="00367DA0" w:rsidRPr="00C70275">
        <w:rPr>
          <w:sz w:val="28"/>
          <w:szCs w:val="28"/>
        </w:rPr>
        <w:t xml:space="preserve"> г. № </w:t>
      </w:r>
      <w:r w:rsidR="00074C51">
        <w:rPr>
          <w:sz w:val="28"/>
          <w:szCs w:val="28"/>
        </w:rPr>
        <w:t>131</w:t>
      </w:r>
      <w:r w:rsidR="00367DA0" w:rsidRPr="00C70275">
        <w:rPr>
          <w:sz w:val="28"/>
          <w:szCs w:val="28"/>
        </w:rPr>
        <w:t xml:space="preserve">-ФЗ «Об </w:t>
      </w:r>
      <w:r w:rsidR="00074C51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C041C6">
        <w:rPr>
          <w:sz w:val="28"/>
          <w:szCs w:val="28"/>
        </w:rPr>
        <w:t>»</w:t>
      </w:r>
      <w:r w:rsidR="00367DA0" w:rsidRPr="00C70275">
        <w:rPr>
          <w:sz w:val="28"/>
          <w:szCs w:val="28"/>
        </w:rPr>
        <w:t xml:space="preserve">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E21BC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5F1C83" w:rsidRPr="00C70275" w:rsidRDefault="005F1C83" w:rsidP="00E21BC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C51" w:rsidRPr="00074C51" w:rsidRDefault="00074C51" w:rsidP="00E21BC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C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BB23C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B23C3">
        <w:rPr>
          <w:rFonts w:ascii="Times New Roman" w:hAnsi="Times New Roman" w:cs="Times New Roman"/>
          <w:sz w:val="28"/>
          <w:szCs w:val="28"/>
        </w:rPr>
        <w:t xml:space="preserve"> </w:t>
      </w:r>
      <w:r w:rsidRPr="00074C51">
        <w:rPr>
          <w:rFonts w:ascii="Times New Roman" w:hAnsi="Times New Roman" w:cs="Times New Roman"/>
          <w:sz w:val="28"/>
          <w:szCs w:val="28"/>
        </w:rPr>
        <w:t xml:space="preserve">о составе, порядке подготовки Генерального плана </w:t>
      </w:r>
      <w:r>
        <w:rPr>
          <w:rFonts w:ascii="Times New Roman" w:hAnsi="Times New Roman" w:cs="Times New Roman"/>
          <w:sz w:val="28"/>
          <w:szCs w:val="28"/>
        </w:rPr>
        <w:t>МР «Печора»</w:t>
      </w:r>
      <w:r w:rsidR="004D050D">
        <w:rPr>
          <w:rFonts w:ascii="Times New Roman" w:hAnsi="Times New Roman" w:cs="Times New Roman"/>
          <w:sz w:val="28"/>
          <w:szCs w:val="28"/>
        </w:rPr>
        <w:t>,</w:t>
      </w:r>
      <w:r w:rsidRPr="00074C51">
        <w:rPr>
          <w:rFonts w:ascii="Times New Roman" w:hAnsi="Times New Roman" w:cs="Times New Roman"/>
          <w:sz w:val="28"/>
          <w:szCs w:val="28"/>
        </w:rPr>
        <w:t xml:space="preserve"> порядке подготовки изменений и внесения их в Генеральный план </w:t>
      </w:r>
      <w:r>
        <w:rPr>
          <w:rFonts w:ascii="Times New Roman" w:hAnsi="Times New Roman" w:cs="Times New Roman"/>
          <w:sz w:val="28"/>
          <w:szCs w:val="28"/>
        </w:rPr>
        <w:t>МР «Печора»</w:t>
      </w:r>
      <w:r w:rsidRPr="00074C51">
        <w:rPr>
          <w:rFonts w:ascii="Times New Roman" w:hAnsi="Times New Roman" w:cs="Times New Roman"/>
          <w:sz w:val="28"/>
          <w:szCs w:val="28"/>
        </w:rPr>
        <w:t xml:space="preserve"> и о составе, порядке подготовки плана реализации Генерального плана </w:t>
      </w:r>
      <w:r>
        <w:rPr>
          <w:rFonts w:ascii="Times New Roman" w:hAnsi="Times New Roman" w:cs="Times New Roman"/>
          <w:sz w:val="28"/>
          <w:szCs w:val="28"/>
        </w:rPr>
        <w:t>МР «Печора»</w:t>
      </w:r>
      <w:r w:rsidRPr="00074C5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F1C83" w:rsidRPr="00C70275" w:rsidRDefault="00E4333C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1C83" w:rsidRPr="00C70275">
        <w:rPr>
          <w:sz w:val="28"/>
          <w:szCs w:val="28"/>
        </w:rPr>
        <w:t>. Настоящее постановление вступает в  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5F1C83" w:rsidRDefault="00E4333C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C83" w:rsidRPr="00C70275">
        <w:rPr>
          <w:sz w:val="28"/>
          <w:szCs w:val="28"/>
        </w:rPr>
        <w:t xml:space="preserve">. </w:t>
      </w:r>
      <w:proofErr w:type="gramStart"/>
      <w:r w:rsidR="005F1C83" w:rsidRPr="00C70275">
        <w:rPr>
          <w:sz w:val="28"/>
          <w:szCs w:val="28"/>
        </w:rPr>
        <w:t>Контроль за</w:t>
      </w:r>
      <w:proofErr w:type="gramEnd"/>
      <w:r w:rsidR="005F1C83" w:rsidRPr="00C70275">
        <w:rPr>
          <w:sz w:val="28"/>
          <w:szCs w:val="28"/>
        </w:rPr>
        <w:t xml:space="preserve"> исполнением настоящего постановления возложить на </w:t>
      </w:r>
      <w:r w:rsidR="00033E8B">
        <w:rPr>
          <w:sz w:val="28"/>
          <w:szCs w:val="28"/>
        </w:rPr>
        <w:t xml:space="preserve">первого </w:t>
      </w:r>
      <w:r w:rsidR="005F1C83" w:rsidRPr="00C70275">
        <w:rPr>
          <w:sz w:val="28"/>
          <w:szCs w:val="28"/>
        </w:rPr>
        <w:t xml:space="preserve">заместителя руководителя администрации </w:t>
      </w:r>
      <w:r w:rsidR="00033E8B">
        <w:rPr>
          <w:sz w:val="28"/>
          <w:szCs w:val="28"/>
        </w:rPr>
        <w:t xml:space="preserve">С.П. </w:t>
      </w:r>
      <w:proofErr w:type="spellStart"/>
      <w:r w:rsidR="00033E8B">
        <w:rPr>
          <w:sz w:val="28"/>
          <w:szCs w:val="28"/>
        </w:rPr>
        <w:t>Кислицына</w:t>
      </w:r>
      <w:proofErr w:type="spellEnd"/>
      <w:r w:rsidR="005F1C83" w:rsidRPr="00C70275">
        <w:rPr>
          <w:sz w:val="28"/>
          <w:szCs w:val="28"/>
        </w:rPr>
        <w:t>.</w:t>
      </w:r>
    </w:p>
    <w:p w:rsidR="009A2249" w:rsidRPr="00C70275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074C51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 глава</w:t>
            </w:r>
            <w:r w:rsidR="00C7027C" w:rsidRPr="00C70275">
              <w:rPr>
                <w:sz w:val="28"/>
                <w:szCs w:val="28"/>
              </w:rPr>
              <w:t xml:space="preserve">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074C51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руководител</w:t>
            </w:r>
            <w:r w:rsidR="00074C51">
              <w:rPr>
                <w:sz w:val="28"/>
                <w:szCs w:val="28"/>
              </w:rPr>
              <w:t>я</w:t>
            </w:r>
            <w:r w:rsidRPr="00C70275">
              <w:rPr>
                <w:sz w:val="28"/>
                <w:szCs w:val="28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C7027C" w:rsidRPr="00C70275" w:rsidRDefault="009D06AA" w:rsidP="00074C51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  </w:t>
            </w:r>
            <w:r w:rsidR="00074C51">
              <w:rPr>
                <w:sz w:val="28"/>
                <w:szCs w:val="28"/>
              </w:rPr>
              <w:t>С. П. Кислицын</w:t>
            </w:r>
          </w:p>
        </w:tc>
      </w:tr>
    </w:tbl>
    <w:p w:rsidR="00033E8B" w:rsidRDefault="00033E8B" w:rsidP="00F1688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3A7A87" w:rsidRDefault="003A7A87" w:rsidP="003A7A8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A72DA" w:rsidRDefault="001A72DA" w:rsidP="003A7A8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A72DA" w:rsidRDefault="001A72DA" w:rsidP="003A7A8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A72DA" w:rsidRDefault="001A72DA" w:rsidP="003A7A8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A72DA" w:rsidRDefault="001A72DA" w:rsidP="003A7A8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A72DA" w:rsidRDefault="001A72DA" w:rsidP="003A7A8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A72DA" w:rsidRDefault="001A72DA" w:rsidP="003A7A8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A7A87" w:rsidRDefault="003A7A8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F24B8C" w:rsidRPr="004F51A1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F51A1">
        <w:rPr>
          <w:bCs/>
          <w:sz w:val="28"/>
          <w:szCs w:val="28"/>
        </w:rPr>
        <w:lastRenderedPageBreak/>
        <w:t>П</w:t>
      </w:r>
      <w:r w:rsidR="00F24B8C" w:rsidRPr="004F51A1">
        <w:rPr>
          <w:bCs/>
          <w:sz w:val="28"/>
          <w:szCs w:val="28"/>
        </w:rPr>
        <w:t>риложение</w:t>
      </w:r>
    </w:p>
    <w:p w:rsidR="00F24B8C" w:rsidRPr="004F51A1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F51A1">
        <w:rPr>
          <w:bCs/>
          <w:sz w:val="28"/>
          <w:szCs w:val="28"/>
        </w:rPr>
        <w:t>к постановлению администрации МР «Печора»</w:t>
      </w:r>
    </w:p>
    <w:p w:rsidR="00F24B8C" w:rsidRPr="004F51A1" w:rsidRDefault="0058333B" w:rsidP="00F24B8C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 «  26 »  сентября 2019 г. №  1193</w:t>
      </w:r>
      <w:bookmarkStart w:id="0" w:name="_GoBack"/>
      <w:bookmarkEnd w:id="0"/>
    </w:p>
    <w:p w:rsidR="00F24B8C" w:rsidRPr="004F51A1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Pr="004F51A1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F51A1" w:rsidRPr="004F51A1" w:rsidRDefault="004F51A1" w:rsidP="004F51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51A1">
        <w:rPr>
          <w:b/>
          <w:sz w:val="28"/>
          <w:szCs w:val="28"/>
        </w:rPr>
        <w:t>ПОЛОЖЕНИЕ</w:t>
      </w:r>
    </w:p>
    <w:p w:rsidR="004F51A1" w:rsidRPr="004F51A1" w:rsidRDefault="004F51A1" w:rsidP="004F51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51A1">
        <w:rPr>
          <w:b/>
          <w:sz w:val="28"/>
          <w:szCs w:val="28"/>
        </w:rPr>
        <w:t>О СОСТАВЕ, ПОРЯДКЕ ПОДГОТОВКИ ГЕНЕРАЛЬНОГО ПЛАНА</w:t>
      </w:r>
    </w:p>
    <w:p w:rsidR="004F51A1" w:rsidRPr="004F51A1" w:rsidRDefault="004F51A1" w:rsidP="00F168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«ПЕЧОРА» </w:t>
      </w:r>
      <w:r w:rsidRPr="004F51A1">
        <w:rPr>
          <w:b/>
          <w:sz w:val="28"/>
          <w:szCs w:val="28"/>
        </w:rPr>
        <w:t xml:space="preserve">ПОРЯДКЕ </w:t>
      </w:r>
      <w:r w:rsidR="00F16880">
        <w:rPr>
          <w:b/>
          <w:sz w:val="28"/>
          <w:szCs w:val="28"/>
        </w:rPr>
        <w:t xml:space="preserve">ПОДГОТОВКИ ИЗМЕНЕНИЙ И ВНЕСЕНИЯ </w:t>
      </w:r>
      <w:r w:rsidRPr="004F51A1">
        <w:rPr>
          <w:b/>
          <w:sz w:val="28"/>
          <w:szCs w:val="28"/>
        </w:rPr>
        <w:t xml:space="preserve">ИХ В ГЕНЕРАЛЬНЫЙ ПЛАН </w:t>
      </w:r>
      <w:r>
        <w:rPr>
          <w:b/>
          <w:sz w:val="28"/>
          <w:szCs w:val="28"/>
        </w:rPr>
        <w:t>МР «ПЕЧОРА»</w:t>
      </w:r>
      <w:r w:rsidR="00F16880">
        <w:rPr>
          <w:b/>
          <w:sz w:val="28"/>
          <w:szCs w:val="28"/>
        </w:rPr>
        <w:t xml:space="preserve"> И О СОСТАВЕ, ПОРЯДКЕ </w:t>
      </w:r>
      <w:r w:rsidRPr="004F51A1">
        <w:rPr>
          <w:b/>
          <w:sz w:val="28"/>
          <w:szCs w:val="28"/>
        </w:rPr>
        <w:t xml:space="preserve">ПОДГОТОВКИ ПЛАНА РЕАЛИЗАЦИИ ГЕНЕРАЛЬНОГО ПЛАНА </w:t>
      </w:r>
      <w:r>
        <w:rPr>
          <w:b/>
          <w:sz w:val="28"/>
          <w:szCs w:val="28"/>
        </w:rPr>
        <w:t>МР «ПЕЧОРА»</w:t>
      </w:r>
    </w:p>
    <w:p w:rsidR="004F51A1" w:rsidRPr="004F51A1" w:rsidRDefault="004F51A1" w:rsidP="004F51A1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4F51A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F51A1">
        <w:rPr>
          <w:sz w:val="28"/>
          <w:szCs w:val="28"/>
        </w:rPr>
        <w:t>1. Общие положения</w:t>
      </w:r>
    </w:p>
    <w:p w:rsidR="004F51A1" w:rsidRPr="004F51A1" w:rsidRDefault="004F51A1" w:rsidP="004F51A1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1.1. Положение о составе, порядке подготовки Генерального плана </w:t>
      </w:r>
      <w:r>
        <w:rPr>
          <w:sz w:val="28"/>
          <w:szCs w:val="28"/>
        </w:rPr>
        <w:t xml:space="preserve">МР «Печора» </w:t>
      </w:r>
      <w:r w:rsidRPr="004F51A1">
        <w:rPr>
          <w:sz w:val="28"/>
          <w:szCs w:val="28"/>
        </w:rPr>
        <w:t xml:space="preserve">порядке подготовки изменений и внесения их в Генеральный план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и о составе, порядке подготовки плана реализации Генерального плана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(далее - Положение) разработано в соответствии со </w:t>
      </w:r>
      <w:hyperlink r:id="rId10" w:history="1">
        <w:r w:rsidRPr="004F51A1">
          <w:rPr>
            <w:sz w:val="28"/>
            <w:szCs w:val="28"/>
          </w:rPr>
          <w:t>статьями 9</w:t>
        </w:r>
      </w:hyperlink>
      <w:r w:rsidRPr="004F51A1">
        <w:rPr>
          <w:sz w:val="28"/>
          <w:szCs w:val="28"/>
        </w:rPr>
        <w:t xml:space="preserve">, </w:t>
      </w:r>
      <w:hyperlink r:id="rId11" w:history="1">
        <w:r w:rsidRPr="004F51A1">
          <w:rPr>
            <w:sz w:val="28"/>
            <w:szCs w:val="28"/>
          </w:rPr>
          <w:t>18</w:t>
        </w:r>
      </w:hyperlink>
      <w:r w:rsidRPr="004F51A1">
        <w:rPr>
          <w:sz w:val="28"/>
          <w:szCs w:val="28"/>
        </w:rPr>
        <w:t xml:space="preserve">, </w:t>
      </w:r>
      <w:hyperlink r:id="rId12" w:history="1">
        <w:r w:rsidRPr="004F51A1">
          <w:rPr>
            <w:sz w:val="28"/>
            <w:szCs w:val="28"/>
          </w:rPr>
          <w:t>23</w:t>
        </w:r>
      </w:hyperlink>
      <w:r w:rsidRPr="004F51A1">
        <w:rPr>
          <w:sz w:val="28"/>
          <w:szCs w:val="28"/>
        </w:rPr>
        <w:t xml:space="preserve"> - </w:t>
      </w:r>
      <w:hyperlink r:id="rId13" w:history="1">
        <w:r w:rsidRPr="004F51A1">
          <w:rPr>
            <w:sz w:val="28"/>
            <w:szCs w:val="28"/>
          </w:rPr>
          <w:t>26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1.2. Положение определяет состав, порядок подготовки Генерального плана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(далее - Генеральный план), в том числе внесение изменений в него, состав и содержание материалов по его обоснованию, устанавливает общие требования к составу и порядку подготовки плана реализации Генерального плана, а также регулирует отношения, возникающие при его разработке и утверждении.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1.3. </w:t>
      </w:r>
      <w:proofErr w:type="gramStart"/>
      <w:r w:rsidRPr="004F51A1">
        <w:rPr>
          <w:sz w:val="28"/>
          <w:szCs w:val="28"/>
        </w:rPr>
        <w:t>Генеральный план - документ территориального планирования, направленный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образований, в том числе для установления функциональных зон, определения планируемого размещения объектов федерального значения, объектов регионального</w:t>
      </w:r>
      <w:proofErr w:type="gramEnd"/>
      <w:r w:rsidRPr="004F51A1">
        <w:rPr>
          <w:sz w:val="28"/>
          <w:szCs w:val="28"/>
        </w:rPr>
        <w:t xml:space="preserve"> значения, объектов местного значения.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1.4. Территориальное планирование осуществляется в соответствии с действующим федеральным законодательством и законодательными актами Республики Коми, муниципальными правовыми актами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и направлено на комплексное решение задач развития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и решение вопросов местного значения, установленных Федеральным </w:t>
      </w:r>
      <w:hyperlink r:id="rId14" w:history="1">
        <w:r w:rsidRPr="004F51A1">
          <w:rPr>
            <w:sz w:val="28"/>
            <w:szCs w:val="28"/>
          </w:rPr>
          <w:t>законом</w:t>
        </w:r>
      </w:hyperlink>
      <w:r w:rsidRPr="004F51A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lastRenderedPageBreak/>
        <w:t xml:space="preserve">1.5. Генеральный план является обязательным документом для органов местного самоуправления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 при принятии ими решений и реализации таких решений. 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двух и более субъектов Российской Федерации и документам территориального планирования субъекта Российской Федерации, со дня утверждения.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F51A1">
        <w:rPr>
          <w:sz w:val="28"/>
          <w:szCs w:val="28"/>
        </w:rPr>
        <w:t>2. Общие требования к подготовке Генерального плана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2.1. Подготовка Генерального плана осуществляется в соответствии с требованиями </w:t>
      </w:r>
      <w:hyperlink r:id="rId15" w:history="1">
        <w:r w:rsidRPr="004F51A1">
          <w:rPr>
            <w:sz w:val="28"/>
            <w:szCs w:val="28"/>
          </w:rPr>
          <w:t>статьи 9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2.2. Подготовка Генерального плана осуществляется применительно ко всей территории </w:t>
      </w:r>
      <w:r>
        <w:rPr>
          <w:sz w:val="28"/>
          <w:szCs w:val="28"/>
        </w:rPr>
        <w:t>МР «Печора».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2.3. Подготовка Генерального плана может осуществляться применительно к отдельным населенным пунктам, входящим в состав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 с последующим внесением в Генеральный план изменений, относящихся к другим частям территорий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</w:t>
      </w:r>
      <w:r>
        <w:rPr>
          <w:sz w:val="28"/>
          <w:szCs w:val="28"/>
        </w:rPr>
        <w:t>МР «Печора».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2.4. Финансирование подготовки Генерального плана, подготовки изменений и внесения их в Генеральный план </w:t>
      </w:r>
      <w:proofErr w:type="gramStart"/>
      <w:r w:rsidRPr="004F51A1">
        <w:rPr>
          <w:sz w:val="28"/>
          <w:szCs w:val="28"/>
        </w:rPr>
        <w:t>может</w:t>
      </w:r>
      <w:proofErr w:type="gramEnd"/>
      <w:r w:rsidRPr="004F51A1">
        <w:rPr>
          <w:sz w:val="28"/>
          <w:szCs w:val="28"/>
        </w:rPr>
        <w:t xml:space="preserve"> осуществляется как за счет средств, предусмотренных на эти цели в бюджете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на соответствующий год, так за счет средств заинтересованных лиц.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2.5. Разработка проекта Генерального плана за счет средств бюджета </w:t>
      </w:r>
      <w:r>
        <w:rPr>
          <w:sz w:val="28"/>
          <w:szCs w:val="28"/>
        </w:rPr>
        <w:t xml:space="preserve">МР «Печора» </w:t>
      </w:r>
      <w:r w:rsidRPr="004F51A1">
        <w:rPr>
          <w:sz w:val="28"/>
          <w:szCs w:val="28"/>
        </w:rPr>
        <w:t>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2.6.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</w:t>
      </w:r>
      <w:r w:rsidRPr="004F51A1">
        <w:rPr>
          <w:sz w:val="28"/>
          <w:szCs w:val="28"/>
        </w:rPr>
        <w:lastRenderedPageBreak/>
        <w:t>законодательства и имеющим необходимый опыт практической работы в соответствующей области.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2.7. Генеральный план утверждается на срок не менее чем двадцать лет.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2.8. Утверждение в Генеральном плане границ функциональных зон не влечет за собой изменение правового режима земель, находящихся в границах указанных зон.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2.9. Требования к описанию и отображению в Генеральном плане объектов федерального значения, объектов регионального значения, объектов местного значения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F51A1">
        <w:rPr>
          <w:sz w:val="28"/>
          <w:szCs w:val="28"/>
        </w:rPr>
        <w:t>3. Состав Генерального плана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3.1. Состав и содержание Генерального плана определяется требованиями, установленными в </w:t>
      </w:r>
      <w:hyperlink r:id="rId16" w:history="1">
        <w:r w:rsidRPr="004F51A1">
          <w:rPr>
            <w:sz w:val="28"/>
            <w:szCs w:val="28"/>
          </w:rPr>
          <w:t>статье 23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Федерации.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F51A1">
        <w:rPr>
          <w:sz w:val="28"/>
          <w:szCs w:val="28"/>
        </w:rPr>
        <w:t>4. Порядок подготовки Генерального плана, порядок</w:t>
      </w:r>
    </w:p>
    <w:p w:rsidR="004F51A1" w:rsidRPr="004F51A1" w:rsidRDefault="004F51A1" w:rsidP="00F54F4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51A1">
        <w:rPr>
          <w:sz w:val="28"/>
          <w:szCs w:val="28"/>
        </w:rPr>
        <w:t>подготовки изменений и внесения их в Генеральный план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4.1. Порядок подготовки проекта Генерального плана определяется требованиями, установленными в </w:t>
      </w:r>
      <w:hyperlink r:id="rId17" w:history="1">
        <w:r w:rsidRPr="004F51A1">
          <w:rPr>
            <w:sz w:val="28"/>
            <w:szCs w:val="28"/>
          </w:rPr>
          <w:t>статьях 24</w:t>
        </w:r>
      </w:hyperlink>
      <w:r w:rsidRPr="004F51A1">
        <w:rPr>
          <w:sz w:val="28"/>
          <w:szCs w:val="28"/>
        </w:rPr>
        <w:t xml:space="preserve"> и </w:t>
      </w:r>
      <w:hyperlink r:id="rId18" w:history="1">
        <w:r w:rsidRPr="004F51A1">
          <w:rPr>
            <w:sz w:val="28"/>
            <w:szCs w:val="28"/>
          </w:rPr>
          <w:t>25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</w:t>
      </w:r>
      <w:r w:rsidR="001A72DA">
        <w:rPr>
          <w:sz w:val="28"/>
          <w:szCs w:val="28"/>
        </w:rPr>
        <w:t xml:space="preserve">главой муниципального района – руководителем </w:t>
      </w:r>
      <w:r w:rsidRPr="004F51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в форме постановления.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4.3. При подготовке Генерального плана и при внесении изменений в Генеральный план не допускается включать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федерального и регионального значения.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4.4. </w:t>
      </w:r>
      <w:proofErr w:type="gramStart"/>
      <w:r w:rsidRPr="004F51A1">
        <w:rPr>
          <w:sz w:val="28"/>
          <w:szCs w:val="28"/>
        </w:rPr>
        <w:t xml:space="preserve">Подготовка Генерального плана осуществляется на основании стратегий (программ) развития отдельных отраслей экономики, приоритетных национальных проектов, межгосударственных программ, программ социально-экономического развития субъектов Российской Федерации, планов и программ комплексного социально-экономического развития муниципального образования (при их наличии) с учетом программ, принятых в установленном порядке и реализуемых за счет средств </w:t>
      </w:r>
      <w:r w:rsidRPr="004F51A1">
        <w:rPr>
          <w:sz w:val="28"/>
          <w:szCs w:val="28"/>
        </w:rPr>
        <w:lastRenderedPageBreak/>
        <w:t>федерального бюджета, бюджетов субъектов Российской Федерации, местных бюджетов, решений органов государственной власти, органов местного</w:t>
      </w:r>
      <w:proofErr w:type="gramEnd"/>
      <w:r w:rsidRPr="004F51A1">
        <w:rPr>
          <w:sz w:val="28"/>
          <w:szCs w:val="28"/>
        </w:rPr>
        <w:t xml:space="preserve"> самоуправления, иных главных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4.5. Подготовка Генерального плана осуществляется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двух и более субъектов Российской Федерации, документах территориального планирования субъекта Российской Федерации, документах территориального планирования муниципальных образований, а также с учетом предложений заинтересованных лиц.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4.6.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культурного наследия и </w:t>
      </w:r>
      <w:hyperlink r:id="rId19" w:history="1">
        <w:r w:rsidRPr="004F51A1">
          <w:rPr>
            <w:sz w:val="28"/>
            <w:szCs w:val="28"/>
          </w:rPr>
          <w:t>статьей 27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4.7. Заинтересованные лица вправе представить свои предложения по проекту Генерального плана. Состав и содержание предложений должны соответствовать требованиям действующего законодательства о градостроительной деятельности.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4.8. Проект Генерального плана до его утверждения подлежит согласованию в случаях, установленных в </w:t>
      </w:r>
      <w:hyperlink r:id="rId20" w:history="1">
        <w:r w:rsidRPr="004F51A1">
          <w:rPr>
            <w:sz w:val="28"/>
            <w:szCs w:val="28"/>
          </w:rPr>
          <w:t>статье 25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Федерации, и в порядке, установленном уполномоченным Правительством Российской Федерации федеральным органом исполнительной власти.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4.9. Иные вопросы, кроме указанных в </w:t>
      </w:r>
      <w:hyperlink r:id="rId21" w:history="1">
        <w:r w:rsidRPr="004F51A1">
          <w:rPr>
            <w:sz w:val="28"/>
            <w:szCs w:val="28"/>
          </w:rPr>
          <w:t>частях 1</w:t>
        </w:r>
      </w:hyperlink>
      <w:r w:rsidRPr="004F51A1">
        <w:rPr>
          <w:sz w:val="28"/>
          <w:szCs w:val="28"/>
        </w:rPr>
        <w:t xml:space="preserve"> - </w:t>
      </w:r>
      <w:hyperlink r:id="rId22" w:history="1">
        <w:r w:rsidRPr="004F51A1">
          <w:rPr>
            <w:sz w:val="28"/>
            <w:szCs w:val="28"/>
          </w:rPr>
          <w:t>4.1 статьи 25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 вопросов, не могут рассматриваться при согласовании проекта Генерального плана.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4.10. </w:t>
      </w:r>
      <w:proofErr w:type="gramStart"/>
      <w:r w:rsidRPr="004F51A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обеспечивает доступ к проекту Генерального плана и материалам по его обоснованию в информационной системе территориального планирования с использованием официального сайта в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</w:t>
      </w:r>
      <w:r w:rsidRPr="004F51A1">
        <w:rPr>
          <w:sz w:val="28"/>
          <w:szCs w:val="28"/>
        </w:rPr>
        <w:lastRenderedPageBreak/>
        <w:t>планирования, не менее чем за три месяца до их утверждения.</w:t>
      </w:r>
      <w:proofErr w:type="gramEnd"/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4.11. При подготовке Генерального плана в обязательном порядке проводятся общественные обсуждения или публичные слушания в соответствии со </w:t>
      </w:r>
      <w:hyperlink r:id="rId23" w:history="1">
        <w:r w:rsidRPr="004F51A1">
          <w:rPr>
            <w:sz w:val="28"/>
            <w:szCs w:val="28"/>
          </w:rPr>
          <w:t>статьями 5.1</w:t>
        </w:r>
      </w:hyperlink>
      <w:r w:rsidRPr="004F51A1">
        <w:rPr>
          <w:sz w:val="28"/>
          <w:szCs w:val="28"/>
        </w:rPr>
        <w:t xml:space="preserve"> и </w:t>
      </w:r>
      <w:hyperlink r:id="rId24" w:history="1">
        <w:r w:rsidRPr="004F51A1">
          <w:rPr>
            <w:sz w:val="28"/>
            <w:szCs w:val="28"/>
          </w:rPr>
          <w:t>28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4.12. 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плана, направляемому </w:t>
      </w:r>
      <w:r w:rsidR="00A36E58">
        <w:rPr>
          <w:sz w:val="28"/>
          <w:szCs w:val="28"/>
        </w:rPr>
        <w:t xml:space="preserve">главой муниципального района </w:t>
      </w:r>
      <w:r w:rsidR="00CB4CE7">
        <w:rPr>
          <w:sz w:val="28"/>
          <w:szCs w:val="28"/>
        </w:rPr>
        <w:t>–</w:t>
      </w:r>
      <w:r w:rsidRPr="004F51A1">
        <w:rPr>
          <w:sz w:val="28"/>
          <w:szCs w:val="28"/>
        </w:rPr>
        <w:t xml:space="preserve"> </w:t>
      </w:r>
      <w:r w:rsidR="00CB4CE7">
        <w:rPr>
          <w:sz w:val="28"/>
          <w:szCs w:val="28"/>
        </w:rPr>
        <w:t xml:space="preserve">руководителем </w:t>
      </w:r>
      <w:r w:rsidRPr="004F51A1">
        <w:rPr>
          <w:sz w:val="28"/>
          <w:szCs w:val="28"/>
        </w:rPr>
        <w:t xml:space="preserve">администрации </w:t>
      </w:r>
      <w:r w:rsidR="008D0FBE">
        <w:rPr>
          <w:sz w:val="28"/>
          <w:szCs w:val="28"/>
        </w:rPr>
        <w:t>МР «Печора»</w:t>
      </w:r>
      <w:r w:rsidR="008D0FBE" w:rsidRPr="004F51A1">
        <w:rPr>
          <w:sz w:val="28"/>
          <w:szCs w:val="28"/>
        </w:rPr>
        <w:t xml:space="preserve"> </w:t>
      </w:r>
      <w:r w:rsidRPr="004F51A1">
        <w:rPr>
          <w:sz w:val="28"/>
          <w:szCs w:val="28"/>
        </w:rPr>
        <w:t xml:space="preserve">в Совет </w:t>
      </w:r>
      <w:r>
        <w:rPr>
          <w:sz w:val="28"/>
          <w:szCs w:val="28"/>
        </w:rPr>
        <w:t>МР «Печора».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4.13. </w:t>
      </w:r>
      <w:proofErr w:type="gramStart"/>
      <w:r w:rsidRPr="004F51A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1A1">
        <w:rPr>
          <w:sz w:val="28"/>
          <w:szCs w:val="28"/>
        </w:rPr>
        <w:t xml:space="preserve">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</w:t>
      </w:r>
      <w:r>
        <w:rPr>
          <w:sz w:val="28"/>
          <w:szCs w:val="28"/>
        </w:rPr>
        <w:t>главе муниципального района -</w:t>
      </w:r>
      <w:r w:rsidR="00D4762F">
        <w:rPr>
          <w:sz w:val="28"/>
          <w:szCs w:val="28"/>
        </w:rPr>
        <w:t xml:space="preserve"> </w:t>
      </w:r>
      <w:r w:rsidRPr="004F51A1">
        <w:rPr>
          <w:sz w:val="28"/>
          <w:szCs w:val="28"/>
        </w:rPr>
        <w:t xml:space="preserve">руководителю администрации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на доработку в соответствии с указанными протоколом и заключением.</w:t>
      </w:r>
      <w:proofErr w:type="gramEnd"/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4.14. Генеральный план, в том числе внесение в него изменений, утверждается Советом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в форме решения.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4.15. Решение об утверждении Генерального плана вступает в силу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организационно-правовых форм и форм собственности.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4.16. Подготовка изменений и внесение изменений в Генеральный план осуществляется в соответствии со </w:t>
      </w:r>
      <w:hyperlink r:id="rId25" w:history="1">
        <w:r w:rsidRPr="004F51A1">
          <w:rPr>
            <w:sz w:val="28"/>
            <w:szCs w:val="28"/>
          </w:rPr>
          <w:t>статьями 9</w:t>
        </w:r>
      </w:hyperlink>
      <w:r w:rsidRPr="004F51A1">
        <w:rPr>
          <w:sz w:val="28"/>
          <w:szCs w:val="28"/>
        </w:rPr>
        <w:t xml:space="preserve">, </w:t>
      </w:r>
      <w:hyperlink r:id="rId26" w:history="1">
        <w:r w:rsidRPr="004F51A1">
          <w:rPr>
            <w:sz w:val="28"/>
            <w:szCs w:val="28"/>
          </w:rPr>
          <w:t>24</w:t>
        </w:r>
      </w:hyperlink>
      <w:r w:rsidRPr="004F51A1">
        <w:rPr>
          <w:sz w:val="28"/>
          <w:szCs w:val="28"/>
        </w:rPr>
        <w:t xml:space="preserve"> и </w:t>
      </w:r>
      <w:hyperlink r:id="rId27" w:history="1">
        <w:r w:rsidRPr="004F51A1">
          <w:rPr>
            <w:sz w:val="28"/>
            <w:szCs w:val="28"/>
          </w:rPr>
          <w:t>25</w:t>
        </w:r>
      </w:hyperlink>
      <w:r w:rsidRPr="004F51A1">
        <w:rPr>
          <w:sz w:val="28"/>
          <w:szCs w:val="28"/>
        </w:rPr>
        <w:t xml:space="preserve"> Градостроительного кодекса Российской Федерации и с учетом требований настоящего Положения.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4.17.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F51A1">
        <w:rPr>
          <w:sz w:val="28"/>
          <w:szCs w:val="28"/>
        </w:rPr>
        <w:t>5. Состав и порядок подготовки плана реализации</w:t>
      </w:r>
    </w:p>
    <w:p w:rsidR="004F51A1" w:rsidRPr="004F51A1" w:rsidRDefault="004F51A1" w:rsidP="00F54F4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51A1">
        <w:rPr>
          <w:sz w:val="28"/>
          <w:szCs w:val="28"/>
        </w:rPr>
        <w:t>Генерального плана</w:t>
      </w:r>
    </w:p>
    <w:p w:rsidR="004F51A1" w:rsidRPr="004F51A1" w:rsidRDefault="004F51A1" w:rsidP="00F54F4F">
      <w:pPr>
        <w:widowControl w:val="0"/>
        <w:autoSpaceDE w:val="0"/>
        <w:autoSpaceDN w:val="0"/>
        <w:rPr>
          <w:sz w:val="28"/>
          <w:szCs w:val="28"/>
        </w:rPr>
      </w:pPr>
    </w:p>
    <w:p w:rsidR="004F51A1" w:rsidRPr="004F51A1" w:rsidRDefault="004F51A1" w:rsidP="00F54F4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5.1. Реализация Генерального плана осуществляется путем: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-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- принятия в порядке, установленном законодательством Российской </w:t>
      </w:r>
      <w:r w:rsidRPr="004F51A1">
        <w:rPr>
          <w:sz w:val="28"/>
          <w:szCs w:val="28"/>
        </w:rPr>
        <w:lastRenderedPageBreak/>
        <w:t>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5.2. </w:t>
      </w:r>
      <w:proofErr w:type="gramStart"/>
      <w:r w:rsidRPr="004F51A1">
        <w:rPr>
          <w:sz w:val="28"/>
          <w:szCs w:val="28"/>
        </w:rPr>
        <w:t xml:space="preserve">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и реализуемыми за счет средств бюджета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или нормативными правовыми актами администрации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, или в установленном администрацией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 порядке решениями главных распорядителей средств бюджета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, программой комплексного развития систем коммунальной инфраструктуры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, программой комплексного развития транспортной инфраструктуры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>, программой комплексного</w:t>
      </w:r>
      <w:proofErr w:type="gramEnd"/>
      <w:r w:rsidRPr="004F51A1">
        <w:rPr>
          <w:sz w:val="28"/>
          <w:szCs w:val="28"/>
        </w:rPr>
        <w:t xml:space="preserve"> развития социальной инфраструктуры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 и (при наличии) инвестиционными программами организаций коммунального комплекса.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5.3. Подготовка плана реализации Генерального плана осуществляется в следующем порядке: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5.3.1. Принятие администрацией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решения о разработке проекта плана реализации Генерального плана.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Решение о разработке плана реализации Генерального плана принимается в форме постановления администрации </w:t>
      </w:r>
      <w:r>
        <w:rPr>
          <w:sz w:val="28"/>
          <w:szCs w:val="28"/>
        </w:rPr>
        <w:t xml:space="preserve">МР «Печора», </w:t>
      </w:r>
      <w:r w:rsidRPr="004F51A1">
        <w:rPr>
          <w:sz w:val="28"/>
          <w:szCs w:val="28"/>
        </w:rPr>
        <w:t xml:space="preserve">которое опубликовывается в порядке, установленном для официального опубликования муниципальных правовых актов администрации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, и размещается на </w:t>
      </w:r>
      <w:r w:rsidR="0063140C">
        <w:rPr>
          <w:sz w:val="28"/>
          <w:szCs w:val="28"/>
        </w:rPr>
        <w:t xml:space="preserve">официальном сайте </w:t>
      </w:r>
      <w:r w:rsidRPr="004F51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  в сети Интернет.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>5.3.2. Разработка проекта плана реализации Генерального плана.</w:t>
      </w:r>
    </w:p>
    <w:p w:rsidR="004F51A1" w:rsidRPr="004F51A1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5.4.3. Утверждение плана реализации Генерального плана </w:t>
      </w:r>
      <w:r w:rsidR="00514834">
        <w:rPr>
          <w:sz w:val="28"/>
          <w:szCs w:val="28"/>
        </w:rPr>
        <w:t>главой муниципального района - руководителем</w:t>
      </w:r>
      <w:r w:rsidRPr="004F51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МР «Печора»</w:t>
      </w:r>
    </w:p>
    <w:p w:rsidR="006648B8" w:rsidRPr="008D0FBE" w:rsidRDefault="004F51A1" w:rsidP="00F54F4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51A1">
        <w:rPr>
          <w:sz w:val="28"/>
          <w:szCs w:val="28"/>
        </w:rPr>
        <w:t xml:space="preserve">Решение об утверждении плана реализации Генерального плана принимается в форме постановления администрации </w:t>
      </w:r>
      <w:r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, которое опубликовывается в порядке, установленном для официального опубликования муниципальных правовых актов администрации </w:t>
      </w:r>
      <w:r w:rsidR="008D0FBE">
        <w:rPr>
          <w:sz w:val="28"/>
          <w:szCs w:val="28"/>
        </w:rPr>
        <w:t>МР «Печора»</w:t>
      </w:r>
      <w:r w:rsidRPr="004F51A1">
        <w:rPr>
          <w:sz w:val="28"/>
          <w:szCs w:val="28"/>
        </w:rPr>
        <w:t xml:space="preserve">, и размещается на </w:t>
      </w:r>
      <w:r w:rsidR="00710D75">
        <w:rPr>
          <w:sz w:val="28"/>
          <w:szCs w:val="28"/>
        </w:rPr>
        <w:t xml:space="preserve">официальном сайте </w:t>
      </w:r>
      <w:r w:rsidRPr="004F51A1">
        <w:rPr>
          <w:sz w:val="28"/>
          <w:szCs w:val="28"/>
        </w:rPr>
        <w:t xml:space="preserve"> администрации </w:t>
      </w:r>
      <w:r w:rsidR="008D0FBE">
        <w:rPr>
          <w:sz w:val="28"/>
          <w:szCs w:val="28"/>
        </w:rPr>
        <w:t>МР «Печора»</w:t>
      </w:r>
      <w:r w:rsidR="008D0FBE" w:rsidRPr="004F51A1">
        <w:rPr>
          <w:sz w:val="28"/>
          <w:szCs w:val="28"/>
        </w:rPr>
        <w:t xml:space="preserve"> </w:t>
      </w:r>
      <w:r w:rsidRPr="004F51A1">
        <w:rPr>
          <w:sz w:val="28"/>
          <w:szCs w:val="28"/>
        </w:rPr>
        <w:t xml:space="preserve"> в сети Интернет.</w:t>
      </w:r>
    </w:p>
    <w:p w:rsidR="006648B8" w:rsidRPr="002045BB" w:rsidRDefault="006648B8" w:rsidP="00F24B8C">
      <w:pPr>
        <w:jc w:val="right"/>
        <w:rPr>
          <w:rFonts w:eastAsia="Calibri"/>
          <w:sz w:val="26"/>
          <w:szCs w:val="26"/>
        </w:rPr>
      </w:pPr>
    </w:p>
    <w:sectPr w:rsidR="006648B8" w:rsidRPr="002045BB" w:rsidSect="001A72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3C" w:rsidRDefault="00E4333C" w:rsidP="00221CE5">
      <w:r>
        <w:separator/>
      </w:r>
    </w:p>
  </w:endnote>
  <w:endnote w:type="continuationSeparator" w:id="0">
    <w:p w:rsidR="00E4333C" w:rsidRDefault="00E4333C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3C" w:rsidRDefault="00E4333C" w:rsidP="00221CE5">
      <w:r>
        <w:separator/>
      </w:r>
    </w:p>
  </w:footnote>
  <w:footnote w:type="continuationSeparator" w:id="0">
    <w:p w:rsidR="00E4333C" w:rsidRDefault="00E4333C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74C51"/>
    <w:rsid w:val="00085F83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A72DA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6B04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A7A87"/>
    <w:rsid w:val="003C0D89"/>
    <w:rsid w:val="003C7787"/>
    <w:rsid w:val="003E3DEA"/>
    <w:rsid w:val="003F3586"/>
    <w:rsid w:val="004006B2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D050D"/>
    <w:rsid w:val="004E465D"/>
    <w:rsid w:val="004E488C"/>
    <w:rsid w:val="004E4910"/>
    <w:rsid w:val="004F266C"/>
    <w:rsid w:val="004F463F"/>
    <w:rsid w:val="004F466D"/>
    <w:rsid w:val="004F51A1"/>
    <w:rsid w:val="005009D0"/>
    <w:rsid w:val="00500C7E"/>
    <w:rsid w:val="00503F32"/>
    <w:rsid w:val="005116D6"/>
    <w:rsid w:val="00514834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333B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140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0D75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0FBE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36E58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1E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23C3"/>
    <w:rsid w:val="00BB3C0A"/>
    <w:rsid w:val="00BB55D8"/>
    <w:rsid w:val="00BB6161"/>
    <w:rsid w:val="00BC6116"/>
    <w:rsid w:val="00BD0336"/>
    <w:rsid w:val="00BD1D00"/>
    <w:rsid w:val="00BD3BAE"/>
    <w:rsid w:val="00BD733C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4CE7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4762F"/>
    <w:rsid w:val="00D512E6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064A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1BC7"/>
    <w:rsid w:val="00E2501E"/>
    <w:rsid w:val="00E305EE"/>
    <w:rsid w:val="00E32A06"/>
    <w:rsid w:val="00E36B9F"/>
    <w:rsid w:val="00E4333C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16880"/>
    <w:rsid w:val="00F24B8C"/>
    <w:rsid w:val="00F25597"/>
    <w:rsid w:val="00F264D3"/>
    <w:rsid w:val="00F27EA7"/>
    <w:rsid w:val="00F314FD"/>
    <w:rsid w:val="00F37F29"/>
    <w:rsid w:val="00F40425"/>
    <w:rsid w:val="00F41617"/>
    <w:rsid w:val="00F47440"/>
    <w:rsid w:val="00F54F4F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5E8F2ED6E3C5CB9ACBCC4D3FD7C420A405967A94733C9DE7EA27FC228C682D08A461976F915333FF8691A5CD122656963DBBBDE4CF14C5RDxEM" TargetMode="External"/><Relationship Id="rId18" Type="http://schemas.openxmlformats.org/officeDocument/2006/relationships/hyperlink" Target="consultantplus://offline/ref=465E8F2ED6E3C5CB9ACBCC4D3FD7C420A405967A94733C9DE7EA27FC228C682D08A461976F90573EF88691A5CD122656963DBBBDE4CF14C5RDxEM" TargetMode="External"/><Relationship Id="rId26" Type="http://schemas.openxmlformats.org/officeDocument/2006/relationships/hyperlink" Target="consultantplus://offline/ref=465E8F2ED6E3C5CB9ACBCC4D3FD7C420A405967A94733C9DE7EA27FC228C682D08A461976F905730F68691A5CD122656963DBBBDE4CF14C5RDx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5E8F2ED6E3C5CB9ACBCC4D3FD7C420A405967A94733C9DE7EA27FC228C682D08A461976F915336F68691A5CD122656963DBBBDE4CF14C5RDx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5E8F2ED6E3C5CB9ACBCC4D3FD7C420A405967A94733C9DE7EA27FC228C682D08A461976F915230FB8691A5CD122656963DBBBDE4CF14C5RDxEM" TargetMode="External"/><Relationship Id="rId17" Type="http://schemas.openxmlformats.org/officeDocument/2006/relationships/hyperlink" Target="consultantplus://offline/ref=465E8F2ED6E3C5CB9ACBCC4D3FD7C420A405967A94733C9DE7EA27FC228C682D08A461976F905730F68691A5CD122656963DBBBDE4CF14C5RDxEM" TargetMode="External"/><Relationship Id="rId25" Type="http://schemas.openxmlformats.org/officeDocument/2006/relationships/hyperlink" Target="consultantplus://offline/ref=465E8F2ED6E3C5CB9ACBCC4D3FD7C420A405967A94733C9DE7EA27FC228C682D08A461976F915136F98691A5CD122656963DBBBDE4CF14C5RDx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5E8F2ED6E3C5CB9ACBCC4D3FD7C420A405967A94733C9DE7EA27FC228C682D08A461976F915230FB8691A5CD122656963DBBBDE4CF14C5RDxEM" TargetMode="External"/><Relationship Id="rId20" Type="http://schemas.openxmlformats.org/officeDocument/2006/relationships/hyperlink" Target="consultantplus://offline/ref=465E8F2ED6E3C5CB9ACBCC4D3FD7C420A405967A94733C9DE7EA27FC228C682D08A461976F90573EF88691A5CD122656963DBBBDE4CF14C5RDxE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5E8F2ED6E3C5CB9ACBCC4D3FD7C420A405967A94733C9DE7EA27FC228C682D08A461976F905631FA8691A5CD122656963DBBBDE4CF14C5RDxEM" TargetMode="External"/><Relationship Id="rId24" Type="http://schemas.openxmlformats.org/officeDocument/2006/relationships/hyperlink" Target="consultantplus://offline/ref=465E8F2ED6E3C5CB9ACBCC4D3FD7C420A405967A94733C9DE7EA27FC228C682D08A461946E97513CABDC81A184452D4A902AA5B6FACCR1x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5E8F2ED6E3C5CB9ACBCC4D3FD7C420A405967A94733C9DE7EA27FC228C682D08A461976F915136F98691A5CD122656963DBBBDE4CF14C5RDxEM" TargetMode="External"/><Relationship Id="rId23" Type="http://schemas.openxmlformats.org/officeDocument/2006/relationships/hyperlink" Target="consultantplus://offline/ref=465E8F2ED6E3C5CB9ACBCC4D3FD7C420A405967A94733C9DE7EA27FC228C682D08A461946E90503CABDC81A184452D4A902AA5B6FACCR1xD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65E8F2ED6E3C5CB9ACBCC4D3FD7C420A405967A94733C9DE7EA27FC228C682D08A461946D91533CABDC81A184452D4A902AA5B6FACCR1xDM" TargetMode="External"/><Relationship Id="rId19" Type="http://schemas.openxmlformats.org/officeDocument/2006/relationships/hyperlink" Target="consultantplus://offline/ref=465E8F2ED6E3C5CB9ACBCC4D3FD7C420A405967A94733C9DE7EA27FC228C682D08A461976F905035FE8691A5CD122656963DBBBDE4CF14C5RDx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65E8F2ED6E3C5CB9ACBCC4D3FD7C420A405967195753C9DE7EA27FC228C682D1AA4399B6D964A37F693C7F488R4xEM" TargetMode="External"/><Relationship Id="rId22" Type="http://schemas.openxmlformats.org/officeDocument/2006/relationships/hyperlink" Target="consultantplus://offline/ref=465E8F2ED6E3C5CB9ACBCC4D3FD7C420A405967A94733C9DE7EA27FC228C682D08A461946F99503CABDC81A184452D4A902AA5B6FACCR1xDM" TargetMode="External"/><Relationship Id="rId27" Type="http://schemas.openxmlformats.org/officeDocument/2006/relationships/hyperlink" Target="consultantplus://offline/ref=465E8F2ED6E3C5CB9ACBCC4D3FD7C420A405967A94733C9DE7EA27FC228C682D08A461976F90573EF88691A5CD122656963DBBBDE4CF14C5RDx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A7AE-D39A-4125-9D73-5185B383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1721</Words>
  <Characters>16048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31</cp:revision>
  <cp:lastPrinted>2019-09-27T08:39:00Z</cp:lastPrinted>
  <dcterms:created xsi:type="dcterms:W3CDTF">2019-09-18T11:21:00Z</dcterms:created>
  <dcterms:modified xsi:type="dcterms:W3CDTF">2019-09-30T07:35:00Z</dcterms:modified>
</cp:coreProperties>
</file>