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B3" w:rsidRDefault="00C868B3" w:rsidP="00C868B3">
      <w:pPr>
        <w:jc w:val="right"/>
        <w:rPr>
          <w:rFonts w:eastAsia="Calibri"/>
          <w:szCs w:val="26"/>
        </w:rPr>
      </w:pPr>
      <w:bookmarkStart w:id="0" w:name="_GoBack"/>
      <w:bookmarkEnd w:id="0"/>
      <w:r>
        <w:rPr>
          <w:rFonts w:eastAsia="Calibri"/>
          <w:szCs w:val="26"/>
        </w:rPr>
        <w:t xml:space="preserve">Приложение </w:t>
      </w:r>
      <w:r w:rsidR="001E29B5">
        <w:rPr>
          <w:rFonts w:eastAsia="Calibri"/>
          <w:szCs w:val="26"/>
        </w:rPr>
        <w:t>2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/>
      </w:tblPr>
      <w:tblGrid>
        <w:gridCol w:w="553"/>
        <w:gridCol w:w="13"/>
        <w:gridCol w:w="2667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2107E5">
        <w:trPr>
          <w:trHeight w:val="551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31E27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A31E2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3711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2107E5">
        <w:trPr>
          <w:trHeight w:val="525"/>
        </w:trPr>
        <w:tc>
          <w:tcPr>
            <w:tcW w:w="5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11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2107E5">
        <w:trPr>
          <w:trHeight w:val="1769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8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2107E5">
        <w:trPr>
          <w:trHeight w:val="5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2107E5">
        <w:trPr>
          <w:trHeight w:val="16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2107E5">
        <w:trPr>
          <w:trHeight w:val="2395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2107E5">
        <w:trPr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D96C1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AD5C74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lastRenderedPageBreak/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567614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16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trHeight w:val="402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710222" w:rsidRPr="00A31E27" w:rsidTr="002107E5">
        <w:trPr>
          <w:trHeight w:val="396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6761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C90BB9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6F593C" w:rsidRPr="00A31E27" w:rsidTr="002107E5">
        <w:trPr>
          <w:trHeight w:val="112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6761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85795" w:rsidRPr="00A31E27" w:rsidRDefault="00A8579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6F593C" w:rsidRPr="00A31E27" w:rsidTr="002107E5">
        <w:trPr>
          <w:trHeight w:val="3813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</w:t>
            </w:r>
            <w:r w:rsidR="00567614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6F593C" w:rsidRPr="00A31E27" w:rsidTr="002107E5">
        <w:trPr>
          <w:trHeight w:val="22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trHeight w:val="45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710222" w:rsidRPr="00A31E27" w:rsidTr="002107E5">
        <w:trPr>
          <w:trHeight w:val="315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5514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4318F" w:rsidRPr="00A31E27" w:rsidRDefault="0044318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48 639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292,4 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710222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6F593C" w:rsidRPr="00A31E27" w:rsidTr="00003F37">
        <w:trPr>
          <w:gridAfter w:val="4"/>
          <w:wAfter w:w="891" w:type="dxa"/>
          <w:trHeight w:val="185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24A87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х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классов, получивших аттестат о среднем  общем образовании от общего числа выпускников 11 (12)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х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6F593C" w:rsidRPr="00A31E27" w:rsidTr="00003F37">
        <w:trPr>
          <w:gridAfter w:val="4"/>
          <w:wAfter w:w="891" w:type="dxa"/>
          <w:trHeight w:val="282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D43575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824A87" w:rsidRPr="00A31E27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6F593C" w:rsidRPr="00A31E27" w:rsidTr="00003F37">
        <w:trPr>
          <w:gridAfter w:val="4"/>
          <w:wAfter w:w="891" w:type="dxa"/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организаций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6F593C" w:rsidRPr="00A31E27" w:rsidTr="00003F37">
        <w:trPr>
          <w:gridAfter w:val="4"/>
          <w:wAfter w:w="891" w:type="dxa"/>
          <w:trHeight w:val="282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6F593C" w:rsidRPr="00A31E27" w:rsidTr="00003F37">
        <w:trPr>
          <w:gridAfter w:val="4"/>
          <w:wAfter w:w="891" w:type="dxa"/>
          <w:trHeight w:val="324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381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9247AC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spellStart"/>
            <w:proofErr w:type="gramStart"/>
            <w:r w:rsidRPr="009247AC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spellEnd"/>
            <w:proofErr w:type="gramEnd"/>
            <w:r w:rsidRPr="009247AC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9247AC" w:rsidRDefault="00D43575" w:rsidP="00D43575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710222" w:rsidRPr="009247AC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5829AC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C65E58" w:rsidRPr="009247AC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spellEnd"/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C876E3" w:rsidRDefault="00C65E58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1D2B5B" w:rsidRDefault="00BD17A4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D43575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Default="00710222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D43575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sz w:val="16"/>
                <w:szCs w:val="16"/>
              </w:rPr>
              <w:t>которых</w:t>
            </w:r>
            <w:proofErr w:type="gramEnd"/>
            <w:r w:rsidRPr="00A31E27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2B2FCF" w:rsidRDefault="002B2FCF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D17A4" w:rsidRPr="00A31E27" w:rsidRDefault="00BD17A4" w:rsidP="00CC28C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Default="00710222" w:rsidP="0027735E">
            <w:pPr>
              <w:pStyle w:val="Default"/>
              <w:rPr>
                <w:sz w:val="16"/>
                <w:szCs w:val="16"/>
              </w:rPr>
            </w:pPr>
            <w:proofErr w:type="gramStart"/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FD0C69" w:rsidRPr="00A31E27" w:rsidRDefault="00912538" w:rsidP="009125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образовательных </w:t>
            </w:r>
            <w:proofErr w:type="gramStart"/>
            <w:r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295080" w:rsidP="00295080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 все основные виды современных условий обучения от 81% до 100%(от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565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A7847" w:rsidRPr="00A31E27" w:rsidRDefault="00CA78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57 266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</w:tr>
      <w:tr w:rsidR="006F593C" w:rsidRPr="00A31E27" w:rsidTr="00535147">
        <w:trPr>
          <w:gridAfter w:val="1"/>
          <w:wAfter w:w="645" w:type="dxa"/>
          <w:trHeight w:val="1837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6F593C" w:rsidRPr="00A31E27" w:rsidTr="00535147">
        <w:trPr>
          <w:gridAfter w:val="1"/>
          <w:wAfter w:w="645" w:type="dxa"/>
          <w:trHeight w:val="166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6F593C" w:rsidRPr="00A31E27" w:rsidTr="00535147">
        <w:trPr>
          <w:gridAfter w:val="1"/>
          <w:wAfter w:w="645" w:type="dxa"/>
          <w:trHeight w:val="140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11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2A03A8" w:rsidRPr="00A31E27" w:rsidTr="002A03A8">
        <w:trPr>
          <w:gridAfter w:val="1"/>
          <w:wAfter w:w="645" w:type="dxa"/>
          <w:trHeight w:val="70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A31E27" w:rsidRDefault="002A03A8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47B0" w:rsidRPr="00567614" w:rsidRDefault="003247B0" w:rsidP="003247B0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2A03A8" w:rsidRPr="00567614" w:rsidRDefault="002A03A8" w:rsidP="0027735E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06" w:rsidRPr="00567614" w:rsidRDefault="00181906" w:rsidP="00181906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2A03A8" w:rsidRPr="00567614" w:rsidRDefault="00181906" w:rsidP="00181906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06" w:rsidRPr="00567614" w:rsidRDefault="00181906" w:rsidP="0018190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2A03A8" w:rsidRPr="0056761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18190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A03A8" w:rsidRPr="00567614" w:rsidRDefault="0018190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A8" w:rsidRPr="0056761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A8" w:rsidRPr="0056761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710222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3104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D243E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2107E5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6F593C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 w:rsidR="00057C7D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6F593C" w:rsidRPr="00A31E27" w:rsidTr="00535147">
        <w:trPr>
          <w:gridAfter w:val="1"/>
          <w:wAfter w:w="645" w:type="dxa"/>
          <w:trHeight w:val="32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6F593C" w:rsidRPr="00A31E27" w:rsidTr="00535147">
        <w:trPr>
          <w:gridAfter w:val="1"/>
          <w:wAfter w:w="645" w:type="dxa"/>
          <w:trHeight w:val="239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61963" w:rsidRDefault="00C6196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</w:tr>
      <w:tr w:rsidR="006F593C" w:rsidRPr="00A31E27" w:rsidTr="00535147">
        <w:trPr>
          <w:gridAfter w:val="1"/>
          <w:wAfter w:w="645" w:type="dxa"/>
          <w:trHeight w:val="240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A391D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</w:t>
            </w:r>
            <w:r w:rsidR="00E433A1" w:rsidRPr="00AA391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22758A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22758A" w:rsidRDefault="00057C7D" w:rsidP="00057C7D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 w:rsidRPr="0022758A">
              <w:rPr>
                <w:color w:val="000000"/>
                <w:highlight w:val="yellow"/>
              </w:rPr>
              <w:t>/\</w:t>
            </w:r>
          </w:p>
          <w:p w:rsidR="00710222" w:rsidRPr="0022758A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/>
                <w:highlight w:val="yellow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22758A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ИЗ</w:t>
            </w:r>
          </w:p>
          <w:p w:rsidR="0048290F" w:rsidRPr="0022758A" w:rsidRDefault="004829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50267E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22758A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22758A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5351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45 369,0</w:t>
            </w:r>
            <w:r w:rsidR="00710222" w:rsidRPr="0022758A">
              <w:rPr>
                <w:color w:val="000000" w:themeColor="text1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45 369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45 369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45 369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22758A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2758A">
              <w:rPr>
                <w:color w:val="000000" w:themeColor="text1"/>
                <w:sz w:val="16"/>
                <w:szCs w:val="16"/>
                <w:highlight w:val="yellow"/>
              </w:rPr>
              <w:t>45 369</w:t>
            </w:r>
          </w:p>
        </w:tc>
      </w:tr>
      <w:tr w:rsidR="00EB56CA" w:rsidRPr="00A31E27" w:rsidTr="00EB56CA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3715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B56CA" w:rsidRPr="004251DF" w:rsidRDefault="00EB56CA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 w:rsidR="00057C7D"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D4AD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00539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CC28C4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  <w:r w:rsidR="00CC28C4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6F593C" w:rsidRPr="00A31E27" w:rsidTr="003715CF">
        <w:trPr>
          <w:gridAfter w:val="1"/>
          <w:wAfter w:w="645" w:type="dxa"/>
          <w:trHeight w:val="2679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222" w:rsidRPr="00A31E27" w:rsidRDefault="00710222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6F593C" w:rsidRPr="00A31E27" w:rsidTr="00535147">
        <w:trPr>
          <w:gridAfter w:val="1"/>
          <w:wAfter w:w="645" w:type="dxa"/>
          <w:trHeight w:val="37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F6F45" w:rsidRPr="00A31E27" w:rsidRDefault="005F6F4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C85CE1" w:rsidRPr="00A31E27" w:rsidTr="003715CF">
        <w:trPr>
          <w:gridAfter w:val="1"/>
          <w:wAfter w:w="645" w:type="dxa"/>
          <w:trHeight w:val="4238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1123EB" w:rsidRPr="00A31E27" w:rsidRDefault="001123E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C85CE1" w:rsidRPr="00A31E27" w:rsidTr="00535147">
        <w:trPr>
          <w:gridAfter w:val="1"/>
          <w:wAfter w:w="645" w:type="dxa"/>
          <w:trHeight w:val="409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60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907D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22330F" w:rsidRPr="00A31E27" w:rsidRDefault="002233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94D0C" w:rsidRPr="00A31E27" w:rsidTr="00535147">
        <w:trPr>
          <w:gridAfter w:val="1"/>
          <w:wAfter w:w="645" w:type="dxa"/>
          <w:trHeight w:val="409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B94D0C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15470" w:rsidRPr="00515470" w:rsidRDefault="00515470" w:rsidP="00515470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  <w:r w:rsidRPr="00515470">
              <w:rPr>
                <w:color w:val="000000" w:themeColor="text1"/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421602" w:rsidRPr="00515470" w:rsidRDefault="00421602" w:rsidP="00421602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94D0C" w:rsidRPr="00515470" w:rsidRDefault="00B94D0C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0C" w:rsidRPr="00515470" w:rsidRDefault="00B94D0C" w:rsidP="00B94D0C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94D0C" w:rsidRPr="00515470" w:rsidRDefault="00B94D0C" w:rsidP="00B94D0C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0C" w:rsidRPr="00515470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94D0C" w:rsidRPr="00515470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D0C" w:rsidRPr="00515470" w:rsidRDefault="00B94D0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D0C" w:rsidRPr="00515470" w:rsidRDefault="00B94D0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B94D0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15470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710222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4F718B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4F718B" w:rsidRPr="00A31E27" w:rsidTr="00535147">
        <w:trPr>
          <w:gridAfter w:val="1"/>
          <w:wAfter w:w="645" w:type="dxa"/>
          <w:trHeight w:val="1403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656F8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Pr="00A31E27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A00098" w:rsidRPr="00A31E27" w:rsidTr="00535147">
        <w:trPr>
          <w:gridAfter w:val="1"/>
          <w:wAfter w:w="645" w:type="dxa"/>
          <w:trHeight w:val="12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78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A00098" w:rsidRPr="00A31E27" w:rsidTr="00535147">
        <w:trPr>
          <w:gridAfter w:val="1"/>
          <w:wAfter w:w="645" w:type="dxa"/>
          <w:trHeight w:val="154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153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A00098" w:rsidRPr="00A31E27" w:rsidTr="003715CF">
        <w:trPr>
          <w:gridAfter w:val="1"/>
          <w:wAfter w:w="645" w:type="dxa"/>
          <w:trHeight w:val="78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5029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02929"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</w:tr>
      <w:tr w:rsidR="00A00098" w:rsidRPr="00A31E27" w:rsidTr="00535147">
        <w:trPr>
          <w:gridAfter w:val="1"/>
          <w:wAfter w:w="645" w:type="dxa"/>
          <w:trHeight w:val="126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69341B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19B" w:rsidRDefault="001E519B">
      <w:r>
        <w:separator/>
      </w:r>
    </w:p>
  </w:endnote>
  <w:endnote w:type="continuationSeparator" w:id="0">
    <w:p w:rsidR="001E519B" w:rsidRDefault="001E5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614" w:rsidRDefault="003A07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614" w:rsidRDefault="003A07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E29B5">
      <w:rPr>
        <w:rStyle w:val="af6"/>
        <w:noProof/>
      </w:rPr>
      <w:t>1</w: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19B" w:rsidRDefault="001E519B">
      <w:r>
        <w:separator/>
      </w:r>
    </w:p>
  </w:footnote>
  <w:footnote w:type="continuationSeparator" w:id="0">
    <w:p w:rsidR="001E519B" w:rsidRDefault="001E5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12E5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3D5F"/>
    <w:rsid w:val="00313D91"/>
    <w:rsid w:val="00315569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1602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24A87"/>
    <w:rsid w:val="0083009D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8062F"/>
    <w:rsid w:val="00A80C5F"/>
    <w:rsid w:val="00A82CFF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35FAC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48FD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DCE38-2D1A-406B-A9A2-1D76B4F6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2690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19570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6</cp:revision>
  <cp:lastPrinted>2021-02-25T07:07:00Z</cp:lastPrinted>
  <dcterms:created xsi:type="dcterms:W3CDTF">2021-03-11T05:58:00Z</dcterms:created>
  <dcterms:modified xsi:type="dcterms:W3CDTF">2021-06-22T05:44:00Z</dcterms:modified>
</cp:coreProperties>
</file>