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A2A" w:rsidRPr="0049232A" w:rsidRDefault="002E1A2A" w:rsidP="002E1A2A">
      <w:pPr>
        <w:widowControl w:val="0"/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49232A">
        <w:rPr>
          <w:sz w:val="28"/>
          <w:szCs w:val="28"/>
        </w:rPr>
        <w:t xml:space="preserve"> 1</w:t>
      </w:r>
    </w:p>
    <w:p w:rsidR="002E1A2A" w:rsidRDefault="002E1A2A" w:rsidP="002E1A2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2E1A2A" w:rsidRDefault="002E1A2A" w:rsidP="002E1A2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 «Печора»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49232A">
        <w:rPr>
          <w:sz w:val="28"/>
          <w:szCs w:val="28"/>
        </w:rPr>
        <w:t xml:space="preserve">от </w:t>
      </w:r>
      <w:r>
        <w:rPr>
          <w:sz w:val="28"/>
          <w:szCs w:val="28"/>
        </w:rPr>
        <w:t>26 сентября 2014 года № 5-29/391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E1A2A" w:rsidRPr="0049232A" w:rsidRDefault="002E1A2A" w:rsidP="002E1A2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0" w:name="Par45"/>
      <w:bookmarkEnd w:id="0"/>
      <w:r w:rsidRPr="0049232A">
        <w:rPr>
          <w:b/>
          <w:bCs/>
          <w:sz w:val="28"/>
          <w:szCs w:val="28"/>
        </w:rPr>
        <w:t>ПОЛОЖЕНИЕ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9232A">
        <w:rPr>
          <w:b/>
          <w:bCs/>
          <w:sz w:val="28"/>
          <w:szCs w:val="28"/>
        </w:rPr>
        <w:t>О ПОРЯДКЕ УВЕКОВЕЧЕНИЯ НА ТЕРРИТОРИИ МУНИЦИПАЛЬНОГО</w:t>
      </w:r>
      <w:r>
        <w:rPr>
          <w:b/>
          <w:bCs/>
          <w:sz w:val="28"/>
          <w:szCs w:val="28"/>
        </w:rPr>
        <w:t xml:space="preserve"> </w:t>
      </w:r>
      <w:r w:rsidRPr="0049232A">
        <w:rPr>
          <w:b/>
          <w:bCs/>
          <w:sz w:val="28"/>
          <w:szCs w:val="28"/>
        </w:rPr>
        <w:t xml:space="preserve">ОБРАЗОВАНИЯ </w:t>
      </w:r>
      <w:r>
        <w:rPr>
          <w:b/>
          <w:bCs/>
          <w:sz w:val="28"/>
          <w:szCs w:val="28"/>
        </w:rPr>
        <w:t>МУНИЦИПАЛЬНОГО РАЙОНА «ПЕЧОРА»</w:t>
      </w:r>
      <w:r w:rsidRPr="0049232A">
        <w:rPr>
          <w:b/>
          <w:bCs/>
          <w:sz w:val="28"/>
          <w:szCs w:val="28"/>
        </w:rPr>
        <w:t xml:space="preserve"> ПАМЯТИ ВЫДАЮЩИХСЯ</w:t>
      </w:r>
      <w:r>
        <w:rPr>
          <w:b/>
          <w:bCs/>
          <w:sz w:val="28"/>
          <w:szCs w:val="28"/>
        </w:rPr>
        <w:t xml:space="preserve"> </w:t>
      </w:r>
      <w:r w:rsidRPr="0049232A">
        <w:rPr>
          <w:b/>
          <w:bCs/>
          <w:sz w:val="28"/>
          <w:szCs w:val="28"/>
        </w:rPr>
        <w:t>ДЕЯТЕЛЕЙ, ЗАСЛУЖЕННЫХ ЛИЦ В ФОРМЕ ПРИСВОЕНИЯ ИХ ИМЕН</w:t>
      </w:r>
      <w:r>
        <w:rPr>
          <w:b/>
          <w:bCs/>
          <w:sz w:val="28"/>
          <w:szCs w:val="28"/>
        </w:rPr>
        <w:t xml:space="preserve"> </w:t>
      </w:r>
      <w:r w:rsidRPr="0049232A">
        <w:rPr>
          <w:b/>
          <w:bCs/>
          <w:sz w:val="28"/>
          <w:szCs w:val="28"/>
        </w:rPr>
        <w:t>МУНИЦИПАЛЬНЫМ УЧРЕЖДЕНИЯМ, МУНИЦИПАЛЬНЫМ УНИТАРНЫМ</w:t>
      </w:r>
      <w:r>
        <w:rPr>
          <w:b/>
          <w:bCs/>
          <w:sz w:val="28"/>
          <w:szCs w:val="28"/>
        </w:rPr>
        <w:t xml:space="preserve"> </w:t>
      </w:r>
      <w:r w:rsidRPr="0049232A">
        <w:rPr>
          <w:b/>
          <w:bCs/>
          <w:sz w:val="28"/>
          <w:szCs w:val="28"/>
        </w:rPr>
        <w:t>ПРЕДПРИЯТИЯМ, ЗАКРЕПЛЕННЫМ ЗА УКАЗАННЫМИ ОРГАНИЗАЦИЯМИ</w:t>
      </w:r>
      <w:r>
        <w:rPr>
          <w:b/>
          <w:bCs/>
          <w:sz w:val="28"/>
          <w:szCs w:val="28"/>
        </w:rPr>
        <w:t xml:space="preserve"> </w:t>
      </w:r>
      <w:r w:rsidRPr="0049232A">
        <w:rPr>
          <w:b/>
          <w:bCs/>
          <w:sz w:val="28"/>
          <w:szCs w:val="28"/>
        </w:rPr>
        <w:t>ОБЪЕКТАМ НЕДВИЖИМОГО ИМУЩЕСТВА, А ТАКЖЕ УЛИЦАМ, ПЛОЩАДЯМ,</w:t>
      </w:r>
      <w:r>
        <w:rPr>
          <w:b/>
          <w:bCs/>
          <w:sz w:val="28"/>
          <w:szCs w:val="28"/>
        </w:rPr>
        <w:t xml:space="preserve"> </w:t>
      </w:r>
      <w:r w:rsidRPr="0049232A">
        <w:rPr>
          <w:b/>
          <w:bCs/>
          <w:sz w:val="28"/>
          <w:szCs w:val="28"/>
        </w:rPr>
        <w:t>ПРОСПЕКТАМ И ДРУГИМ ОБЪЕКТАМ, НАХОДЯЩИМСЯ В ВЕДЕНИИ</w:t>
      </w:r>
      <w:r>
        <w:rPr>
          <w:b/>
          <w:bCs/>
          <w:sz w:val="28"/>
          <w:szCs w:val="28"/>
        </w:rPr>
        <w:t xml:space="preserve"> </w:t>
      </w:r>
      <w:r w:rsidRPr="0049232A">
        <w:rPr>
          <w:b/>
          <w:bCs/>
          <w:sz w:val="28"/>
          <w:szCs w:val="28"/>
        </w:rPr>
        <w:t xml:space="preserve">МУНИЦИПАЛЬНОГО ОБРАЗОВАНИЯ </w:t>
      </w:r>
      <w:r>
        <w:rPr>
          <w:b/>
          <w:bCs/>
          <w:sz w:val="28"/>
          <w:szCs w:val="28"/>
        </w:rPr>
        <w:t>МУНИЦИПАЛЬНОГО РАЙОНА «ПЕЧОРА»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1. </w:t>
      </w:r>
      <w:proofErr w:type="gramStart"/>
      <w:r w:rsidRPr="0049232A">
        <w:rPr>
          <w:sz w:val="28"/>
          <w:szCs w:val="28"/>
        </w:rPr>
        <w:t xml:space="preserve">Настоящее Положение определяет порядок увековечения на территории муниципального образования </w:t>
      </w:r>
      <w:r>
        <w:rPr>
          <w:sz w:val="28"/>
          <w:szCs w:val="28"/>
        </w:rPr>
        <w:t>муниципального района «Печора» (далее - МО МР «Печора»</w:t>
      </w:r>
      <w:r w:rsidRPr="0049232A">
        <w:rPr>
          <w:sz w:val="28"/>
          <w:szCs w:val="28"/>
        </w:rPr>
        <w:t>) памяти выдающихся деятелей, заслуженных лиц (далее - заслуженные лица) в форме присвоения их имен муниципальным учреждениям, муниципальным унитарным предприятиям (далее - муниципальные организации), закрепленным за указанными организациями объектам недвижимого имущества, а также улицам, площадям, проспектам и другим объектам, находящи</w:t>
      </w:r>
      <w:r>
        <w:rPr>
          <w:sz w:val="28"/>
          <w:szCs w:val="28"/>
        </w:rPr>
        <w:t>мся в ведении администрации МО МР «Печора»</w:t>
      </w:r>
      <w:r w:rsidRPr="0049232A">
        <w:rPr>
          <w:sz w:val="28"/>
          <w:szCs w:val="28"/>
        </w:rPr>
        <w:t>.</w:t>
      </w:r>
      <w:proofErr w:type="gramEnd"/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2. Присвоение имен заслуженных лиц муниципальным организациям, закрепленным за ними объектам недвижимого имущества, а также улицам, площадям, проспектам и другим объектам является одной из форм увековечения памяти на территории </w:t>
      </w:r>
      <w:r>
        <w:rPr>
          <w:sz w:val="28"/>
          <w:szCs w:val="28"/>
        </w:rPr>
        <w:t>МО МР «Печора»</w:t>
      </w:r>
      <w:r w:rsidRPr="0049232A">
        <w:rPr>
          <w:sz w:val="28"/>
          <w:szCs w:val="28"/>
        </w:rPr>
        <w:t xml:space="preserve"> заслуженных лиц и может осуществляться не ранее чем через 3 года после смерти заслуженного лица, память которого подлежит увековечению.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3. </w:t>
      </w:r>
      <w:proofErr w:type="gramStart"/>
      <w:r w:rsidRPr="0049232A">
        <w:rPr>
          <w:sz w:val="28"/>
          <w:szCs w:val="28"/>
        </w:rPr>
        <w:t xml:space="preserve">Решение об увековечении памяти заслуженных лиц в форме присвоения их имен муниципальным организациям, находящимся в ведении </w:t>
      </w:r>
      <w:r>
        <w:rPr>
          <w:sz w:val="28"/>
          <w:szCs w:val="28"/>
        </w:rPr>
        <w:t>МО МР «Печора»</w:t>
      </w:r>
      <w:r w:rsidRPr="0049232A">
        <w:rPr>
          <w:sz w:val="28"/>
          <w:szCs w:val="28"/>
        </w:rPr>
        <w:t xml:space="preserve">, закрепленным за указанными организациями объектам недвижимого имущества, а также улицам, площадям, проспектам, другим объектам принимает Совет </w:t>
      </w:r>
      <w:r>
        <w:rPr>
          <w:sz w:val="28"/>
          <w:szCs w:val="28"/>
        </w:rPr>
        <w:t>муниципального района «Печора»</w:t>
      </w:r>
      <w:r w:rsidRPr="0049232A">
        <w:rPr>
          <w:sz w:val="28"/>
          <w:szCs w:val="28"/>
        </w:rPr>
        <w:t xml:space="preserve"> (далее - Совет</w:t>
      </w:r>
      <w:r>
        <w:rPr>
          <w:sz w:val="28"/>
          <w:szCs w:val="28"/>
        </w:rPr>
        <w:t xml:space="preserve"> МР «Печора»</w:t>
      </w:r>
      <w:r w:rsidRPr="0049232A">
        <w:rPr>
          <w:sz w:val="28"/>
          <w:szCs w:val="28"/>
        </w:rPr>
        <w:t>) по представлению администрации</w:t>
      </w:r>
      <w:r>
        <w:rPr>
          <w:sz w:val="28"/>
          <w:szCs w:val="28"/>
        </w:rPr>
        <w:t xml:space="preserve"> муниципального района «Печора» (далее - администрация МР «Печора»)</w:t>
      </w:r>
      <w:r w:rsidRPr="0049232A">
        <w:rPr>
          <w:sz w:val="28"/>
          <w:szCs w:val="28"/>
        </w:rPr>
        <w:t>.</w:t>
      </w:r>
      <w:proofErr w:type="gramEnd"/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4. Предложения об увековечении на территории </w:t>
      </w:r>
      <w:r>
        <w:rPr>
          <w:sz w:val="28"/>
          <w:szCs w:val="28"/>
        </w:rPr>
        <w:t>МО МР «Печора»</w:t>
      </w:r>
      <w:r w:rsidRPr="0049232A">
        <w:rPr>
          <w:sz w:val="28"/>
          <w:szCs w:val="28"/>
        </w:rPr>
        <w:t xml:space="preserve"> вносят органы государственной власти Республики Коми, органы местного самоуправления в Республике Коми, юридические лица независимо от их организационно-правовой формы, общественные организации</w:t>
      </w:r>
      <w:r>
        <w:rPr>
          <w:sz w:val="28"/>
          <w:szCs w:val="28"/>
        </w:rPr>
        <w:t xml:space="preserve"> </w:t>
      </w:r>
      <w:r w:rsidRPr="0049232A">
        <w:rPr>
          <w:sz w:val="28"/>
          <w:szCs w:val="28"/>
        </w:rPr>
        <w:t>(далее - инициаторы).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59"/>
      <w:bookmarkEnd w:id="1"/>
      <w:r w:rsidRPr="0049232A">
        <w:rPr>
          <w:sz w:val="28"/>
          <w:szCs w:val="28"/>
        </w:rPr>
        <w:t xml:space="preserve">5. Инициаторы предложения об увековечении представляют в Управление культуры </w:t>
      </w:r>
      <w:r>
        <w:rPr>
          <w:sz w:val="28"/>
          <w:szCs w:val="28"/>
        </w:rPr>
        <w:t>и туризма МР «Печора»</w:t>
      </w:r>
      <w:r w:rsidRPr="0049232A">
        <w:rPr>
          <w:sz w:val="28"/>
          <w:szCs w:val="28"/>
        </w:rPr>
        <w:t xml:space="preserve"> (далее - Управление культуры) непосредственно или направляют заказным почтовым отправлением с </w:t>
      </w:r>
      <w:r w:rsidRPr="0049232A">
        <w:rPr>
          <w:sz w:val="28"/>
          <w:szCs w:val="28"/>
        </w:rPr>
        <w:lastRenderedPageBreak/>
        <w:t>уведомлением о вручении и описью вложения следующие документы: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1) ходатайство </w:t>
      </w:r>
      <w:r>
        <w:rPr>
          <w:sz w:val="28"/>
          <w:szCs w:val="28"/>
        </w:rPr>
        <w:t xml:space="preserve">об увековечении </w:t>
      </w:r>
      <w:r w:rsidRPr="0049232A">
        <w:rPr>
          <w:sz w:val="28"/>
          <w:szCs w:val="28"/>
        </w:rPr>
        <w:t>по форме, у</w:t>
      </w:r>
      <w:r>
        <w:rPr>
          <w:sz w:val="28"/>
          <w:szCs w:val="28"/>
        </w:rPr>
        <w:t xml:space="preserve">тверждаемой </w:t>
      </w:r>
      <w:r w:rsidRPr="00D71EB2">
        <w:rPr>
          <w:sz w:val="28"/>
          <w:szCs w:val="28"/>
        </w:rPr>
        <w:t>Управлением культуры</w:t>
      </w:r>
      <w:r w:rsidRPr="0049232A">
        <w:rPr>
          <w:sz w:val="28"/>
          <w:szCs w:val="28"/>
        </w:rPr>
        <w:t>;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2) письменное обоснование, содержащее сведения о заслуженном лице, память которого предлагается к увековечению, включая копии архивных документов, подтверждающих заслуги указанного лица;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3) письменное согласие законных представителей, наследников заслуженного лица, память которого предлагается к увековечению, с предлагаемой формой увековечивания (при наличии законных представителей, наследников);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4) решение коллегиального органа управления или общего собрания (конференции) работников муниципальной организации, которой предлагается присвоить имя выдающегося деятеля, заслуженного лица, поддерживающее представление (при увековечении на территории </w:t>
      </w:r>
      <w:r>
        <w:rPr>
          <w:sz w:val="28"/>
          <w:szCs w:val="28"/>
        </w:rPr>
        <w:t xml:space="preserve">МО МР «Печора» </w:t>
      </w:r>
      <w:r w:rsidRPr="0049232A">
        <w:rPr>
          <w:sz w:val="28"/>
          <w:szCs w:val="28"/>
        </w:rPr>
        <w:t>памяти заслуженных лиц в форме присвоения их имен муниципальным учреждениям, муниципальным унитарным предприятиям, закрепленным за указанными организациями объектам недвижимого имущества);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5) письменное предложение (подтверждение) о финансировании работ по увековечению в форме присвоения имени заслуженного лица муниципальной организации, а также закрепленному за ней объекту недвижимого имущества в случае, если инициатор принимает на себя обязательства по финансированию указанных работ.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65"/>
      <w:bookmarkEnd w:id="2"/>
      <w:r w:rsidRPr="0049232A">
        <w:rPr>
          <w:sz w:val="28"/>
          <w:szCs w:val="28"/>
        </w:rPr>
        <w:t xml:space="preserve">6. Управление культуры осуществляет проверку документов, указанных в </w:t>
      </w:r>
      <w:hyperlink w:anchor="Par59" w:history="1">
        <w:r w:rsidRPr="00C71A8D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Положения, в течение 15 рабочих дней со дня их поступления в Управление культуры для дальнейшего направления в Комиссию по культурно-историческому наследию (далее - Комиссия).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Комиссия осуществляет свою работу в соответствии с Положением о комиссии, утверждаемым постановлением администрации </w:t>
      </w:r>
      <w:r>
        <w:rPr>
          <w:sz w:val="28"/>
          <w:szCs w:val="28"/>
        </w:rPr>
        <w:t>МР «Печора»</w:t>
      </w:r>
      <w:r w:rsidRPr="0049232A">
        <w:rPr>
          <w:sz w:val="28"/>
          <w:szCs w:val="28"/>
        </w:rPr>
        <w:t>.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7. Основаниями для отказа в направлении на рассмотрение в Комиссию документов, указанных в </w:t>
      </w:r>
      <w:hyperlink w:anchor="Par59" w:history="1">
        <w:r w:rsidRPr="00C71A8D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Положения, являются: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1) непредставление или представление в неполном объеме документов, указанных в </w:t>
      </w:r>
      <w:hyperlink w:anchor="Par59" w:history="1">
        <w:r w:rsidRPr="00C71A8D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Положения;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2) наличие в представленных документах недостоверных сведений и сведений, не поддающихся прочтению.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8. При наличии противоречивых сведений в представленных документах и (или) при несоответствии содержания и (или) оформления документов требованиям законодательства Управление культуры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 </w:t>
      </w:r>
      <w:proofErr w:type="gramStart"/>
      <w:r w:rsidRPr="0049232A">
        <w:rPr>
          <w:sz w:val="28"/>
          <w:szCs w:val="28"/>
        </w:rPr>
        <w:t xml:space="preserve">При этом предусмотренный в </w:t>
      </w:r>
      <w:hyperlink w:anchor="Par65" w:history="1">
        <w:r w:rsidRPr="00C71A8D">
          <w:rPr>
            <w:sz w:val="28"/>
            <w:szCs w:val="28"/>
          </w:rPr>
          <w:t>пункте 6</w:t>
        </w:r>
      </w:hyperlink>
      <w:r w:rsidRPr="0049232A">
        <w:rPr>
          <w:sz w:val="28"/>
          <w:szCs w:val="28"/>
        </w:rPr>
        <w:t xml:space="preserve"> настоящего Положения срок рассмотрения и проверки документов, указанных в </w:t>
      </w:r>
      <w:hyperlink w:anchor="Par59" w:history="1">
        <w:r w:rsidRPr="00C71A8D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Положения, продлевается начальником Управления культуры или уполномоченным им лицом на срок, необходимый для получения запрашиваемой информации, но не более чем на 30 календарных дней, о чем сообщается инициатору путем направления письменного уведомления в течение 5 рабочих дней со дня направления соответствующего запроса</w:t>
      </w:r>
      <w:proofErr w:type="gramEnd"/>
      <w:r w:rsidRPr="0049232A">
        <w:rPr>
          <w:sz w:val="28"/>
          <w:szCs w:val="28"/>
        </w:rPr>
        <w:t>.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9. </w:t>
      </w:r>
      <w:proofErr w:type="gramStart"/>
      <w:r w:rsidRPr="0049232A">
        <w:rPr>
          <w:sz w:val="28"/>
          <w:szCs w:val="28"/>
        </w:rPr>
        <w:t xml:space="preserve">В случае отсутствия оснований для отказа в направлении на </w:t>
      </w:r>
      <w:r w:rsidRPr="0049232A">
        <w:rPr>
          <w:sz w:val="28"/>
          <w:szCs w:val="28"/>
        </w:rPr>
        <w:lastRenderedPageBreak/>
        <w:t>рассмотрение в Комиссию</w:t>
      </w:r>
      <w:proofErr w:type="gramEnd"/>
      <w:r w:rsidRPr="0049232A">
        <w:rPr>
          <w:sz w:val="28"/>
          <w:szCs w:val="28"/>
        </w:rPr>
        <w:t xml:space="preserve"> документов, указанных в </w:t>
      </w:r>
      <w:hyperlink w:anchor="Par59" w:history="1">
        <w:r w:rsidRPr="00C71A8D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Положения, Управление культуры направляет документы на рассмотрение в Комиссию.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9232A">
        <w:rPr>
          <w:sz w:val="28"/>
          <w:szCs w:val="28"/>
        </w:rPr>
        <w:t>В случае наличия оснований для отказа в направлении на рассмотрение в Комиссию</w:t>
      </w:r>
      <w:proofErr w:type="gramEnd"/>
      <w:r w:rsidRPr="0049232A">
        <w:rPr>
          <w:sz w:val="28"/>
          <w:szCs w:val="28"/>
        </w:rPr>
        <w:t xml:space="preserve"> документов, указанных в </w:t>
      </w:r>
      <w:hyperlink w:anchor="Par59" w:history="1">
        <w:r w:rsidRPr="00C71A8D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Положения, Управление культуры принимает решение об отказе в направлении указанных документов.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10. </w:t>
      </w:r>
      <w:proofErr w:type="gramStart"/>
      <w:r w:rsidRPr="0049232A">
        <w:rPr>
          <w:sz w:val="28"/>
          <w:szCs w:val="28"/>
        </w:rPr>
        <w:t xml:space="preserve">Инициатору в течение 5 рабочих дней со дня окончания рассмотрения документов, указанных в </w:t>
      </w:r>
      <w:hyperlink w:anchor="Par59" w:history="1">
        <w:r w:rsidRPr="00C71A8D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Положения, направляется письменное уведомление о направлении документов, указанных в </w:t>
      </w:r>
      <w:hyperlink w:anchor="Par59" w:history="1">
        <w:r w:rsidRPr="00C71A8D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Положения, на рассмотрение в Комиссию или принятом Управлением культуры решении об отказе в направлении на рассмотрение в Комиссию данных документов с указанием причин отказа.</w:t>
      </w:r>
      <w:proofErr w:type="gramEnd"/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11. Инициатор имеет право повторно обратиться в Управление культуры с предложением об увековечении после устранения недостатков, послуживших причиной отказа.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12. Комиссия рассматривает поступившие от Управления культуры документы, указанные в </w:t>
      </w:r>
      <w:hyperlink w:anchor="Par59" w:history="1">
        <w:r w:rsidRPr="00C71A8D">
          <w:rPr>
            <w:sz w:val="28"/>
            <w:szCs w:val="28"/>
          </w:rPr>
          <w:t>пункте 5</w:t>
        </w:r>
      </w:hyperlink>
      <w:r w:rsidRPr="0049232A">
        <w:rPr>
          <w:sz w:val="28"/>
          <w:szCs w:val="28"/>
        </w:rPr>
        <w:t xml:space="preserve"> настоящего Положения, в течение 30 рабочих дней. По результатам рассмотрения ходатайства Комиссия дает по нему положительное или отрицательное заключение (поддерживает или не поддерживает) и направляет главе администрации </w:t>
      </w:r>
      <w:r>
        <w:rPr>
          <w:sz w:val="28"/>
          <w:szCs w:val="28"/>
        </w:rPr>
        <w:t>МР «Печора»</w:t>
      </w:r>
      <w:r w:rsidRPr="0049232A">
        <w:rPr>
          <w:sz w:val="28"/>
          <w:szCs w:val="28"/>
        </w:rPr>
        <w:t xml:space="preserve"> для внесения предложений в Совет</w:t>
      </w:r>
      <w:r>
        <w:rPr>
          <w:sz w:val="28"/>
          <w:szCs w:val="28"/>
        </w:rPr>
        <w:t xml:space="preserve"> МР «Печора»</w:t>
      </w:r>
      <w:r w:rsidRPr="0049232A">
        <w:rPr>
          <w:sz w:val="28"/>
          <w:szCs w:val="28"/>
        </w:rPr>
        <w:t>.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13. Совет</w:t>
      </w:r>
      <w:r>
        <w:rPr>
          <w:sz w:val="28"/>
          <w:szCs w:val="28"/>
        </w:rPr>
        <w:t xml:space="preserve"> МР «Печора»</w:t>
      </w:r>
      <w:r w:rsidRPr="0049232A">
        <w:rPr>
          <w:sz w:val="28"/>
          <w:szCs w:val="28"/>
        </w:rPr>
        <w:t xml:space="preserve"> рассматривает проект решения, внесенный главой администрации </w:t>
      </w:r>
      <w:r>
        <w:rPr>
          <w:sz w:val="28"/>
          <w:szCs w:val="28"/>
        </w:rPr>
        <w:t>МР «Печора»</w:t>
      </w:r>
      <w:r w:rsidRPr="0049232A">
        <w:rPr>
          <w:sz w:val="28"/>
          <w:szCs w:val="28"/>
        </w:rPr>
        <w:t>, и принимает одно из следующих решений: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1) об увековечении;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2) об отклонении предложения об увековечении.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14. В случае принятия Советом решения об увековечении в предлагаемой инициатором форме увековечения </w:t>
      </w:r>
      <w:r>
        <w:rPr>
          <w:sz w:val="28"/>
          <w:szCs w:val="28"/>
        </w:rPr>
        <w:t>отдел архитектуры и градостроительства администрации МР «Печора»</w:t>
      </w:r>
      <w:r w:rsidRPr="0049232A">
        <w:rPr>
          <w:sz w:val="28"/>
          <w:szCs w:val="28"/>
        </w:rPr>
        <w:t xml:space="preserve"> в течение 5 рабочих дней со дня его вступления в силу готовит План мероприятий по увековечению (изменения в План мероприятий по увековечению) и направляет его в Управление культуры.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15. Управление культуры в течение 10 рабочих дней со дня получения Плана мероприятий по увековечению (изменения в План мероприятий по увековечению) готовит постановление администрации </w:t>
      </w:r>
      <w:r>
        <w:rPr>
          <w:sz w:val="28"/>
          <w:szCs w:val="28"/>
        </w:rPr>
        <w:t>МР «Печора»</w:t>
      </w:r>
      <w:r w:rsidRPr="0049232A">
        <w:rPr>
          <w:sz w:val="28"/>
          <w:szCs w:val="28"/>
        </w:rPr>
        <w:t>, а также направляет инициатору письменное уведомление о принятом Советом</w:t>
      </w:r>
      <w:r>
        <w:rPr>
          <w:sz w:val="28"/>
          <w:szCs w:val="28"/>
        </w:rPr>
        <w:t xml:space="preserve"> МР «Печора»</w:t>
      </w:r>
      <w:r w:rsidRPr="0049232A">
        <w:rPr>
          <w:sz w:val="28"/>
          <w:szCs w:val="28"/>
        </w:rPr>
        <w:t xml:space="preserve"> решении об увековечении в предлагаемой инициатором форме.</w:t>
      </w:r>
    </w:p>
    <w:p w:rsidR="002E1A2A" w:rsidRPr="004923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 xml:space="preserve">16. В случае принятия Советом </w:t>
      </w:r>
      <w:r>
        <w:rPr>
          <w:sz w:val="28"/>
          <w:szCs w:val="28"/>
        </w:rPr>
        <w:t xml:space="preserve">МР «Печора» </w:t>
      </w:r>
      <w:r w:rsidRPr="0049232A">
        <w:rPr>
          <w:sz w:val="28"/>
          <w:szCs w:val="28"/>
        </w:rPr>
        <w:t xml:space="preserve">решения об отклонении предложения об увековечении Управление культуры в течение 10 рабочих дней со дня его вступления в силу направляет инициатору письменное уведомление о принятом Советом </w:t>
      </w:r>
      <w:r>
        <w:rPr>
          <w:sz w:val="28"/>
          <w:szCs w:val="28"/>
        </w:rPr>
        <w:t xml:space="preserve">МР «Печора» </w:t>
      </w:r>
      <w:r w:rsidRPr="0049232A">
        <w:rPr>
          <w:sz w:val="28"/>
          <w:szCs w:val="28"/>
        </w:rPr>
        <w:t>решении.</w:t>
      </w:r>
    </w:p>
    <w:p w:rsidR="002E1A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9232A">
        <w:rPr>
          <w:sz w:val="28"/>
          <w:szCs w:val="28"/>
        </w:rPr>
        <w:t>17. Расходы, связанные с увековечением памяти заслуженных лиц в форме присвоения их имен муниципальным предприятиям и учреждениям, а также улицам, площадям, проспектам и другим объектам,</w:t>
      </w:r>
      <w:r>
        <w:rPr>
          <w:sz w:val="28"/>
          <w:szCs w:val="28"/>
        </w:rPr>
        <w:t xml:space="preserve"> могут </w:t>
      </w:r>
      <w:proofErr w:type="gramStart"/>
      <w:r>
        <w:rPr>
          <w:sz w:val="28"/>
          <w:szCs w:val="28"/>
        </w:rPr>
        <w:t>производится</w:t>
      </w:r>
      <w:proofErr w:type="gramEnd"/>
      <w:r>
        <w:rPr>
          <w:sz w:val="28"/>
          <w:szCs w:val="28"/>
        </w:rPr>
        <w:t xml:space="preserve"> за счет внебюджетных и бюджетных средств (источников)</w:t>
      </w:r>
      <w:r w:rsidRPr="0049232A">
        <w:rPr>
          <w:sz w:val="28"/>
          <w:szCs w:val="28"/>
        </w:rPr>
        <w:t>.</w:t>
      </w:r>
    </w:p>
    <w:p w:rsidR="002E1A2A" w:rsidRDefault="002E1A2A" w:rsidP="002E1A2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E1A2A" w:rsidRDefault="002E1A2A" w:rsidP="002E1A2A">
      <w:pPr>
        <w:widowControl w:val="0"/>
        <w:tabs>
          <w:tab w:val="left" w:pos="1985"/>
          <w:tab w:val="left" w:pos="808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  <w:sectPr w:rsidR="002E1A2A" w:rsidSect="00D71EB2">
          <w:pgSz w:w="11906" w:h="16838" w:code="9"/>
          <w:pgMar w:top="851" w:right="851" w:bottom="851" w:left="1418" w:header="720" w:footer="720" w:gutter="0"/>
          <w:cols w:space="720"/>
        </w:sectPr>
      </w:pPr>
      <w:r>
        <w:rPr>
          <w:sz w:val="28"/>
          <w:szCs w:val="28"/>
        </w:rPr>
        <w:tab/>
        <w:t>____________________________________________</w:t>
      </w:r>
    </w:p>
    <w:p w:rsidR="00DD363E" w:rsidRDefault="00DD363E" w:rsidP="002E1A2A">
      <w:bookmarkStart w:id="3" w:name="Par88"/>
      <w:bookmarkStart w:id="4" w:name="_GoBack"/>
      <w:bookmarkEnd w:id="3"/>
      <w:bookmarkEnd w:id="4"/>
    </w:p>
    <w:sectPr w:rsidR="00DD363E" w:rsidSect="004C7CA4">
      <w:pgSz w:w="11906" w:h="16838" w:code="9"/>
      <w:pgMar w:top="1134" w:right="851" w:bottom="107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2A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2E1A2A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1A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A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A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A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1A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A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1A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2014-10-01T08:22:00Z</cp:lastPrinted>
  <dcterms:created xsi:type="dcterms:W3CDTF">2014-10-01T08:20:00Z</dcterms:created>
  <dcterms:modified xsi:type="dcterms:W3CDTF">2014-10-01T08:23:00Z</dcterms:modified>
</cp:coreProperties>
</file>