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style="mso-next-textbox:#Text Box 3"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2523"/>
                  </w:tblGrid>
                  <w:tr>
                    <w:tc>
                      <w:tcPr>
                        <w:tcW w:w="5103" w:type="dxa"/>
                        <w:gridSpan w:val="2"/>
                      </w:tcPr>
                      <w:p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>
                    <w:tc>
                      <w:tcPr>
                        <w:tcW w:w="2580" w:type="dxa"/>
                      </w:tcPr>
                      <w:p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30.12.2021</w:t>
                        </w:r>
                      </w:p>
                    </w:tc>
                    <w:tc>
                      <w:tcPr>
                        <w:tcW w:w="2523" w:type="dxa"/>
                      </w:tcPr>
                      <w:p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  <w:r>
                          <w:t>№ 03-53-59/210</w:t>
                        </w:r>
                      </w:p>
                    </w:tc>
                  </w:tr>
                </w:tbl>
                <w:p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QwAgQIAAA4FAAAOAAAAZHJzL2Uyb0RvYy54bWysVG1v2yAQ/j5p/wHxPfVLnSa26lRNukyT&#10;uhep3Q8ggGM0DAxI7K7af9+Bk7TrNmma5g8YjuPh7p7nuLwaOon23DqhVY2zsxQjrqhmQm1r/Pl+&#10;PZlj5DxRjEiteI0fuMNXi9evLntT8Vy3WjJuEYAoV/Wmxq33pkoSR1veEXemDVew2WjbEQ9Lu02Y&#10;JT2gdzLJ0/Qi6bVlxmrKnQPrzbiJFxG/aTj1H5vGcY9kjSE2H0cbx00Yk8UlqbaWmFbQQxjkH6Lo&#10;iFBw6QnqhniCdlb8AtUJarXTjT+jukt00wjKYw6QTZa+yOauJYbHXKA4zpzK5P4fLP2w/2SRYDXO&#10;MVKkA4ru+eDRUg8oD9XpjavA6c6Amx/ADCzHTJ251fSLQ0qvWqK2/Npa3becMIguCyeTZ0dHHBdA&#10;Nv17zeAasvM6Ag2N7ULpoBgI0IGlhxMzIRQKxvP8vJzNYIvCXpFPi2mkLiHV8bSxzr/lukNhUmML&#10;zEd0sr91PkRDqqNLuMxpKdhaSBkXdrtZSYv2BFSyjl9M4IWbVMFZ6XBsRBwtECTcEfZCuJH1xzLL&#10;i3SZl5P1xXw2KdbFdFLO0vkkzcpleZEWZXGz/h4CzIqqFYxxdSsUPyowK/6O4UMvjNqJGkR9jctp&#10;Ph0p+mOSafx+l2QnPDSkFF2N5ycnUgVi3ygGaZPKEyHHefJz+LHKUIPjP1YlyiAwP2rAD5sh6i1q&#10;JEhko9kD6MJqoA0YhscEJq223zDqoTFr7L7uiOUYyXcqaCuEBZ0cFzCxz62bo5UoChA19hiN05Uf&#10;u35nrNi2cMOoYqWvQYeNiBJ5iuagXmi6mMvhgQhd/XwdvZ6escUPAAAA//8DAFBLAwQUAAYACAAA&#10;ACEAOry0Z94AAAALAQAADwAAAGRycy9kb3ducmV2LnhtbEyPQU+DQBCF7yb+h82YeDF2aQOWIEtj&#10;avoDRG08DjACys4Sdmnx3zs96e1N3sub7+W7xQ7qRJPvHRtYryJQxLVrem4NvL0e7lNQPiA3ODgm&#10;Az/kYVdcX+WYNe7ML3QqQ6ukhH2GBroQxkxrX3dk0a/cSCzep5ssBjmnVjcTnqXcDnoTRQ/aYs/y&#10;ocOR9h3V3+VsDbhjmbZflX4f7+aSt4eP4x6frTG3N8vTI6hAS/gLwwVf0KEQpsrN3Hg1GEjiraAH&#10;A3ESg7oEoiSVdZWo9SYGXeT6/4biFwAA//8DAFBLAQItABQABgAIAAAAIQC2gziS/gAAAOEBAAAT&#10;AAAAAAAAAAAAAAAAAAAAAABbQ29udGVudF9UeXBlc10ueG1sUEsBAi0AFAAGAAgAAAAhADj9If/W&#10;AAAAlAEAAAsAAAAAAAAAAAAAAAAALwEAAF9yZWxzLy5yZWxzUEsBAi0AFAAGAAgAAAAhALehDACB&#10;AgAADgUAAA4AAAAAAAAAAAAAAAAALgIAAGRycy9lMm9Eb2MueG1sUEsBAi0AFAAGAAgAAAAhADq8&#10;tGfeAAAACwEAAA8AAAAAAAAAAAAAAAAA2wQAAGRycy9kb3ducmV2LnhtbFBLBQYAAAAABAAEAPMA&#10;AADmBQAAAAA=&#10;" stroked="f">
            <v:textbox style="mso-next-textbox:#Text Box 2" inset=".5mm,0,.5mm,0">
              <w:txbxContent>
                <w:p/>
              </w:txbxContent>
            </v:textbox>
            <w10:wrap anchorx="page" anchory="page"/>
          </v:shape>
        </w:pict>
      </w:r>
    </w:p>
    <w:p>
      <w:pPr>
        <w:pStyle w:val="1"/>
      </w:pPr>
    </w:p>
    <w:p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товаров и услуг в Республике Коми</w:t>
      </w:r>
      <w:r>
        <w:rPr>
          <w:rFonts w:ascii="Times New Roman" w:hAnsi="Times New Roman"/>
          <w:sz w:val="28"/>
          <w:szCs w:val="28"/>
        </w:rPr>
        <w:br/>
        <w:t xml:space="preserve"> с 21 по 27 декабря 2021 года</w:t>
      </w:r>
    </w:p>
    <w:p>
      <w:pPr>
        <w:ind w:firstLine="426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За прошедшую неделю цены на</w:t>
      </w:r>
      <w:r>
        <w:rPr>
          <w:color w:val="FF0000"/>
        </w:rPr>
        <w:t xml:space="preserve"> </w:t>
      </w:r>
      <w:r>
        <w:rPr>
          <w:color w:val="000000" w:themeColor="text1"/>
        </w:rPr>
        <w:t xml:space="preserve">консервы овощные для детского питания выросли в среднем на 3,6%, колбасу </w:t>
      </w:r>
      <w:proofErr w:type="spellStart"/>
      <w:r>
        <w:rPr>
          <w:color w:val="000000" w:themeColor="text1"/>
        </w:rPr>
        <w:t>полукопченую</w:t>
      </w:r>
      <w:proofErr w:type="spellEnd"/>
      <w:r>
        <w:rPr>
          <w:color w:val="000000" w:themeColor="text1"/>
        </w:rPr>
        <w:t xml:space="preserve"> - на 2,4%, сыры сычужные - на 1,7%, свинину - на 1,4%, яйца куриные, консервы мясные для детского питания, сахар-песок - на 0,4-0,8%. В то же время снизились цены на колбасу вареную на 1,6%, молоко стерилизованное - на 0,6%. </w:t>
      </w:r>
      <w:proofErr w:type="gramEnd"/>
    </w:p>
    <w:p>
      <w:pPr>
        <w:ind w:firstLine="425"/>
        <w:jc w:val="both"/>
        <w:rPr>
          <w:color w:val="000000" w:themeColor="text1"/>
          <w:spacing w:val="-4"/>
        </w:rPr>
      </w:pPr>
      <w:r>
        <w:rPr>
          <w:color w:val="000000" w:themeColor="text1"/>
          <w:spacing w:val="-4"/>
        </w:rPr>
        <w:t xml:space="preserve">Из плодовоовощной продукции рост цен отмечен на огурцы на 7,8%, помидоры - на 5,8%, капусту белокочанную - на 3,4%, морковь - на 0,8%, картофель - на 0,3%. </w:t>
      </w:r>
    </w:p>
    <w:p>
      <w:pPr>
        <w:ind w:firstLine="425"/>
        <w:jc w:val="both"/>
        <w:rPr>
          <w:color w:val="000000" w:themeColor="text1"/>
          <w:spacing w:val="-4"/>
        </w:rPr>
      </w:pPr>
      <w:r>
        <w:rPr>
          <w:color w:val="000000" w:themeColor="text1"/>
          <w:spacing w:val="-4"/>
        </w:rPr>
        <w:t xml:space="preserve">Из отдельных видов непродовольственных товаров первой необходимости выросли цены на сухие корма для домашних животных на 4,2%. Одновременно снизились цены на пасту зубную на 3,7%, шампуни - на 0,9%. </w:t>
      </w:r>
    </w:p>
    <w:p>
      <w:pPr>
        <w:ind w:right="-1" w:firstLine="426"/>
        <w:jc w:val="both"/>
        <w:rPr>
          <w:color w:val="000000" w:themeColor="text1"/>
          <w:spacing w:val="-4"/>
        </w:rPr>
      </w:pPr>
      <w:r>
        <w:rPr>
          <w:color w:val="000000" w:themeColor="text1"/>
          <w:spacing w:val="-4"/>
        </w:rPr>
        <w:t>Из остальных наблюдаемых непродовольственных товаров телевизоры стали дешевле на 0,6%.</w:t>
      </w:r>
    </w:p>
    <w:p>
      <w:pPr>
        <w:ind w:firstLine="425"/>
        <w:jc w:val="both"/>
        <w:rPr>
          <w:snapToGrid w:val="0"/>
        </w:rPr>
      </w:pPr>
      <w:r>
        <w:rPr>
          <w:color w:val="000000" w:themeColor="text1"/>
        </w:rPr>
        <w:t xml:space="preserve">В группе наблюдаемых медикаментов </w:t>
      </w:r>
      <w:r>
        <w:rPr>
          <w:color w:val="000000" w:themeColor="text1"/>
          <w:spacing w:val="-4"/>
        </w:rPr>
        <w:t xml:space="preserve">выше, чем на прошлой неделе, отмечены цены на </w:t>
      </w:r>
      <w:proofErr w:type="spellStart"/>
      <w:r>
        <w:rPr>
          <w:color w:val="000000" w:themeColor="text1"/>
          <w:spacing w:val="-4"/>
        </w:rPr>
        <w:t>нимесулид</w:t>
      </w:r>
      <w:proofErr w:type="spellEnd"/>
      <w:r>
        <w:rPr>
          <w:snapToGrid w:val="0"/>
        </w:rPr>
        <w:t xml:space="preserve"> - на 0,7%. В то же время снизились цены на </w:t>
      </w:r>
      <w:proofErr w:type="spellStart"/>
      <w:r>
        <w:rPr>
          <w:snapToGrid w:val="0"/>
        </w:rPr>
        <w:t>корвалол</w:t>
      </w:r>
      <w:proofErr w:type="spellEnd"/>
      <w:r>
        <w:rPr>
          <w:snapToGrid w:val="0"/>
        </w:rPr>
        <w:t xml:space="preserve"> на 4,2%, </w:t>
      </w:r>
      <w:proofErr w:type="spellStart"/>
      <w:r>
        <w:rPr>
          <w:snapToGrid w:val="0"/>
        </w:rPr>
        <w:t>левомеколь</w:t>
      </w:r>
      <w:proofErr w:type="spellEnd"/>
      <w:r>
        <w:rPr>
          <w:snapToGrid w:val="0"/>
        </w:rPr>
        <w:t xml:space="preserve"> - на 1,2%, </w:t>
      </w:r>
      <w:proofErr w:type="spellStart"/>
      <w:r>
        <w:rPr>
          <w:snapToGrid w:val="0"/>
        </w:rPr>
        <w:t>бромгексин</w:t>
      </w:r>
      <w:proofErr w:type="spellEnd"/>
      <w:r>
        <w:rPr>
          <w:snapToGrid w:val="0"/>
        </w:rPr>
        <w:t xml:space="preserve"> - </w:t>
      </w:r>
      <w:proofErr w:type="gramStart"/>
      <w:r>
        <w:rPr>
          <w:snapToGrid w:val="0"/>
        </w:rPr>
        <w:t>на</w:t>
      </w:r>
      <w:proofErr w:type="gramEnd"/>
      <w:r>
        <w:rPr>
          <w:snapToGrid w:val="0"/>
        </w:rPr>
        <w:t xml:space="preserve"> 0,5%. </w:t>
      </w:r>
    </w:p>
    <w:p>
      <w:pPr>
        <w:ind w:firstLine="425"/>
        <w:jc w:val="both"/>
        <w:rPr>
          <w:color w:val="000000" w:themeColor="text1"/>
          <w:spacing w:val="-4"/>
        </w:rPr>
      </w:pPr>
      <w:r>
        <w:rPr>
          <w:color w:val="000000" w:themeColor="text1"/>
        </w:rPr>
        <w:t>Цены на дизельное топливо увеличились на 0,5%, бензин автомобильный - не изменились.</w:t>
      </w: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3"/>
        <w:gridCol w:w="1417"/>
        <w:gridCol w:w="1418"/>
        <w:gridCol w:w="1417"/>
        <w:gridCol w:w="1418"/>
      </w:tblGrid>
      <w:tr>
        <w:trPr>
          <w:trHeight w:val="320"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Ноябрь 2021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27 декабря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</w:tr>
      <w:tr>
        <w:trPr>
          <w:trHeight w:val="125"/>
          <w:tblHeader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tabs>
                <w:tab w:val="left" w:pos="-567"/>
                <w:tab w:val="left" w:pos="992"/>
              </w:tabs>
              <w:ind w:left="-142" w:firstLine="142"/>
              <w:contextualSpacing/>
              <w:rPr>
                <w:sz w:val="20"/>
              </w:rPr>
            </w:pPr>
            <w:r>
              <w:rPr>
                <w:sz w:val="20"/>
              </w:rPr>
              <w:t>октябрю 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20 декабря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tabs>
                <w:tab w:val="left" w:pos="7"/>
              </w:tabs>
              <w:ind w:left="-135"/>
              <w:contextualSpacing/>
              <w:rPr>
                <w:sz w:val="20"/>
              </w:rPr>
            </w:pPr>
            <w:r>
              <w:rPr>
                <w:sz w:val="20"/>
              </w:rPr>
              <w:t>29 ноября</w:t>
            </w:r>
          </w:p>
        </w:tc>
      </w:tr>
      <w:tr>
        <w:trPr>
          <w:trHeight w:val="151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>
            <w:pPr>
              <w:ind w:right="454"/>
              <w:jc w:val="right"/>
            </w:pPr>
            <w:r>
              <w:t>103,4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113,1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>
            <w:pPr>
              <w:ind w:right="454"/>
              <w:jc w:val="right"/>
            </w:pPr>
            <w:r>
              <w:t>102,5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>
            <w:pPr>
              <w:ind w:right="454"/>
              <w:jc w:val="right"/>
            </w:pPr>
            <w:r>
              <w:t>102,8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100,6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108,7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101,4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101,7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101,7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129,7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98,8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101,9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112,9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97,0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96,6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Колбаса </w:t>
            </w:r>
            <w:proofErr w:type="spellStart"/>
            <w:r>
              <w:rPr>
                <w:snapToGrid w:val="0"/>
                <w:sz w:val="20"/>
              </w:rPr>
              <w:t>полукопченая</w:t>
            </w:r>
            <w:proofErr w:type="spellEnd"/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98,3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106,8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102,4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104,3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106,1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98,4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106,9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107,3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109,4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100,6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97,7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100,9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108,3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101,3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105,3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108,9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104,0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102,0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111,7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99,7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104,5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113,5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108,5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101,7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110,4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104,6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101,6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105,7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99,9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104,6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100,6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104,4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102,5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101,9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106,7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99,4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102,2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102,1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101,7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102,3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90,9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92,4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103,6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109,8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</w:t>
            </w:r>
            <w:r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101,8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107,2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102,6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105,4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103,9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107,7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103,3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104,6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110,9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103,1</w:t>
            </w:r>
          </w:p>
        </w:tc>
      </w:tr>
      <w:tr>
        <w:trPr>
          <w:trHeight w:val="253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102,4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102,7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108,5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102,9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101,9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109,6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100,4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104,8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107,3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99,3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102,9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101,6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101,4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100,6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103,2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104,4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100,8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105,3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94,9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103,1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99,0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Крупа </w:t>
            </w:r>
            <w:proofErr w:type="spellStart"/>
            <w:proofErr w:type="gramStart"/>
            <w:r>
              <w:rPr>
                <w:snapToGrid w:val="0"/>
                <w:sz w:val="20"/>
              </w:rPr>
              <w:t>гречневая-ядрица</w:t>
            </w:r>
            <w:proofErr w:type="spellEnd"/>
            <w:proofErr w:type="gramEnd"/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102,7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110,0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99,7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107,6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98,5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108,1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 xml:space="preserve">Макаронные изделия из пшеничной муки высшего сорта 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104,5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109,1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99,2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105,7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103,3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136,3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103,1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108,0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218,0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103,4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115,7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97,4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124,2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99,7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103,3</w:t>
            </w:r>
          </w:p>
        </w:tc>
      </w:tr>
      <w:tr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95,2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137,4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99,9</w:t>
            </w:r>
          </w:p>
        </w:tc>
      </w:tr>
      <w:tr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93,3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82,7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107,8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130,9</w:t>
            </w:r>
          </w:p>
        </w:tc>
      </w:tr>
      <w:tr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86,2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92,5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105,8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105,2</w:t>
            </w:r>
          </w:p>
        </w:tc>
      </w:tr>
      <w:tr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92,8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96,6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97,8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100,7</w:t>
            </w:r>
          </w:p>
        </w:tc>
      </w:tr>
      <w:tr>
        <w:trPr>
          <w:trHeight w:val="486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100,8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106,7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100,6</w:t>
            </w:r>
          </w:p>
        </w:tc>
      </w:tr>
      <w:tr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109,0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113,6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98,2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96,8</w:t>
            </w:r>
          </w:p>
        </w:tc>
      </w:tr>
      <w:tr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98,4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100,03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93,3</w:t>
            </w:r>
          </w:p>
        </w:tc>
      </w:tr>
      <w:tr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97,0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103,5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105,6</w:t>
            </w:r>
          </w:p>
        </w:tc>
      </w:tr>
      <w:tr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99,99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98,0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99,1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100,4</w:t>
            </w:r>
          </w:p>
        </w:tc>
      </w:tr>
      <w:tr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106,6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106,5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96,3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94,0</w:t>
            </w:r>
          </w:p>
        </w:tc>
      </w:tr>
      <w:tr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98,4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103,5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98,3</w:t>
            </w:r>
          </w:p>
        </w:tc>
      </w:tr>
      <w:tr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98,2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105,3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97,5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94,9</w:t>
            </w:r>
          </w:p>
        </w:tc>
      </w:tr>
      <w:tr>
        <w:trPr>
          <w:trHeight w:val="351"/>
        </w:trPr>
        <w:tc>
          <w:tcPr>
            <w:tcW w:w="4253" w:type="dxa"/>
            <w:shd w:val="clear" w:color="auto" w:fill="auto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>
              <w:rPr>
                <w:snapToGrid w:val="0"/>
                <w:sz w:val="20"/>
              </w:rPr>
              <w:t>памперсы</w:t>
            </w:r>
            <w:proofErr w:type="spellEnd"/>
            <w:r>
              <w:rPr>
                <w:snapToGrid w:val="0"/>
                <w:sz w:val="20"/>
              </w:rPr>
              <w:t>)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104,9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112,5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98,5</w:t>
            </w:r>
          </w:p>
        </w:tc>
      </w:tr>
      <w:tr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113,6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104,1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97,8</w:t>
            </w:r>
          </w:p>
        </w:tc>
      </w:tr>
      <w:tr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103,0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111,1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99,4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99,5</w:t>
            </w:r>
          </w:p>
        </w:tc>
      </w:tr>
      <w:tr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97,1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96,8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102,8</w:t>
            </w:r>
          </w:p>
        </w:tc>
      </w:tr>
      <w:tr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Доска обрезная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127,4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Металлочерепица</w:t>
            </w:r>
            <w:proofErr w:type="spellEnd"/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115,4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160,3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95,1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95,1</w:t>
            </w:r>
          </w:p>
        </w:tc>
      </w:tr>
      <w:tr>
        <w:trPr>
          <w:trHeight w:val="247"/>
        </w:trPr>
        <w:tc>
          <w:tcPr>
            <w:tcW w:w="4253" w:type="dxa"/>
            <w:shd w:val="clear" w:color="auto" w:fill="auto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114,3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104,2</w:t>
            </w:r>
          </w:p>
        </w:tc>
      </w:tr>
      <w:tr>
        <w:trPr>
          <w:trHeight w:val="486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102,0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113,8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100,6</w:t>
            </w:r>
          </w:p>
        </w:tc>
      </w:tr>
      <w:tr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104,5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107,7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101,2</w:t>
            </w:r>
          </w:p>
        </w:tc>
      </w:tr>
      <w:tr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101,5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106,2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101,2</w:t>
            </w:r>
          </w:p>
        </w:tc>
      </w:tr>
      <w:tr>
        <w:trPr>
          <w:trHeight w:val="486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tabs>
                <w:tab w:val="left" w:pos="4109"/>
              </w:tabs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Метамизол</w:t>
            </w:r>
            <w:proofErr w:type="spellEnd"/>
            <w:r>
              <w:rPr>
                <w:snapToGrid w:val="0"/>
                <w:sz w:val="20"/>
              </w:rPr>
              <w:t xml:space="preserve"> натрия (анальгин отечественный)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101,1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102,2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99,3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101,7</w:t>
            </w:r>
          </w:p>
        </w:tc>
      </w:tr>
      <w:tr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102,1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99,3</w:t>
            </w:r>
          </w:p>
        </w:tc>
      </w:tr>
      <w:tr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Нимесулид</w:t>
            </w:r>
            <w:proofErr w:type="spellEnd"/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98,3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106,0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100,7</w:t>
            </w:r>
          </w:p>
        </w:tc>
      </w:tr>
      <w:tr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Корвалол</w:t>
            </w:r>
            <w:proofErr w:type="spellEnd"/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102,1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125,2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95,8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99,2</w:t>
            </w:r>
          </w:p>
        </w:tc>
      </w:tr>
      <w:tr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Левомеколь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117,2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98,8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97,4</w:t>
            </w:r>
          </w:p>
        </w:tc>
      </w:tr>
      <w:tr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98,8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108,9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99,9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101,7</w:t>
            </w:r>
          </w:p>
        </w:tc>
      </w:tr>
      <w:tr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Аллохол</w:t>
            </w:r>
            <w:proofErr w:type="spellEnd"/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109,6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101,4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104,1</w:t>
            </w:r>
          </w:p>
        </w:tc>
      </w:tr>
      <w:tr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Бромгексин</w:t>
            </w:r>
            <w:proofErr w:type="spellEnd"/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101,1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114,5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103,2</w:t>
            </w:r>
          </w:p>
        </w:tc>
      </w:tr>
      <w:tr>
        <w:trPr>
          <w:trHeight w:val="486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без минералов отечественные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109,4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107,4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rPr>
          <w:trHeight w:val="122"/>
        </w:trPr>
        <w:tc>
          <w:tcPr>
            <w:tcW w:w="4253" w:type="dxa"/>
            <w:shd w:val="clear" w:color="auto" w:fill="auto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101,5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112,9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99,9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102,2</w:t>
            </w:r>
          </w:p>
        </w:tc>
      </w:tr>
      <w:tr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97,6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106,9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104,2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106,0</w:t>
            </w:r>
          </w:p>
        </w:tc>
      </w:tr>
      <w:tr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102,1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103,8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102,4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104,6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103,9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103,8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rPr>
          <w:trHeight w:val="25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103,7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</w:tbl>
    <w:p>
      <w:pPr>
        <w:pStyle w:val="1"/>
        <w:ind w:right="454"/>
        <w:rPr>
          <w:rFonts w:ascii="Times New Roman" w:hAnsi="Times New Roman"/>
          <w:i/>
          <w:sz w:val="20"/>
        </w:rPr>
      </w:pPr>
    </w:p>
    <w:p>
      <w:pPr>
        <w:rPr>
          <w:i/>
          <w:szCs w:val="24"/>
        </w:rPr>
      </w:pPr>
      <w:r>
        <w:rPr>
          <w:i/>
        </w:rPr>
        <w:br w:type="page"/>
      </w: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418"/>
        <w:gridCol w:w="1417"/>
        <w:gridCol w:w="1418"/>
        <w:gridCol w:w="1417"/>
      </w:tblGrid>
      <w:tr>
        <w:trPr>
          <w:cantSplit/>
          <w:tblHeader/>
        </w:trPr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lastRenderedPageBreak/>
              <w:t xml:space="preserve">Изменение цен на отдельные виды товаров и услуг по республике и отдельным </w:t>
            </w:r>
            <w:r>
              <w:rPr>
                <w:b/>
                <w:iCs/>
                <w:sz w:val="24"/>
                <w:szCs w:val="24"/>
              </w:rPr>
              <w:t>городам</w:t>
            </w:r>
            <w:r>
              <w:rPr>
                <w:b/>
                <w:iCs/>
                <w:sz w:val="24"/>
                <w:szCs w:val="24"/>
              </w:rPr>
              <w:br/>
            </w:r>
            <w:r>
              <w:rPr>
                <w:b/>
                <w:iCs/>
                <w:sz w:val="24"/>
              </w:rPr>
              <w:t>с 21 по 27 декабря</w:t>
            </w:r>
          </w:p>
          <w:p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i/>
                <w:iCs/>
                <w:sz w:val="20"/>
              </w:rPr>
              <w:t>В процентах</w:t>
            </w:r>
          </w:p>
        </w:tc>
      </w:tr>
      <w:tr>
        <w:trPr>
          <w:cantSplit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</w:tcPr>
          <w:p>
            <w:pPr>
              <w:pStyle w:val="5-"/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>
            <w:pPr>
              <w:pStyle w:val="5-"/>
              <w:rPr>
                <w:sz w:val="20"/>
              </w:rPr>
            </w:pPr>
            <w:r>
              <w:rPr>
                <w:sz w:val="20"/>
              </w:rPr>
              <w:t xml:space="preserve">В целом </w:t>
            </w:r>
            <w:r>
              <w:rPr>
                <w:sz w:val="20"/>
              </w:rPr>
              <w:br/>
              <w:t>по республике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</w:tr>
      <w:tr>
        <w:trPr>
          <w:cantSplit/>
          <w:trHeight w:val="167"/>
          <w:tblHeader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rPr>
                <w:sz w:val="20"/>
              </w:rPr>
            </w:pPr>
            <w:r>
              <w:rPr>
                <w:sz w:val="20"/>
              </w:rPr>
              <w:t>Сыктывкар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rPr>
                <w:sz w:val="20"/>
              </w:rPr>
            </w:pPr>
            <w:r>
              <w:rPr>
                <w:sz w:val="20"/>
              </w:rPr>
              <w:t>Воркута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ind w:left="142" w:right="510"/>
              <w:jc w:val="right"/>
              <w:rPr>
                <w:sz w:val="20"/>
              </w:rPr>
            </w:pPr>
            <w:r>
              <w:rPr>
                <w:sz w:val="20"/>
              </w:rPr>
              <w:t>Ухта</w:t>
            </w:r>
          </w:p>
        </w:tc>
      </w:tr>
      <w:tr>
        <w:tc>
          <w:tcPr>
            <w:tcW w:w="4253" w:type="dxa"/>
            <w:tcBorders>
              <w:top w:val="single" w:sz="4" w:space="0" w:color="auto"/>
            </w:tcBorders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>
            <w:pPr>
              <w:ind w:right="454"/>
              <w:jc w:val="right"/>
            </w:pPr>
            <w:r>
              <w:t>102,5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>
            <w:pPr>
              <w:ind w:right="454"/>
              <w:jc w:val="right"/>
            </w:pPr>
            <w:r>
              <w:t xml:space="preserve">105,1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101,4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102,9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100,4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97,0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 xml:space="preserve">93,1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100,5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Колбаса </w:t>
            </w:r>
            <w:proofErr w:type="spellStart"/>
            <w:r>
              <w:rPr>
                <w:snapToGrid w:val="0"/>
                <w:sz w:val="20"/>
              </w:rPr>
              <w:t>полукопченая</w:t>
            </w:r>
            <w:proofErr w:type="spellEnd"/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102,4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 xml:space="preserve">103,1 </w:t>
            </w:r>
            <w:r>
              <w:rPr>
                <w:vertAlign w:val="superscript"/>
              </w:rPr>
              <w:t>3)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 xml:space="preserve">103,8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98,4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 xml:space="preserve">93,7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99,5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100,9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101,0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100,6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101,0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99,6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98,4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99,4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98,7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98,9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101,7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 xml:space="preserve">104,8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 xml:space="preserve">96,8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100,5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103,6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 xml:space="preserve">107,3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 xml:space="preserve">88,6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 xml:space="preserve">107,5 </w:t>
            </w:r>
            <w:r>
              <w:rPr>
                <w:vertAlign w:val="superscript"/>
              </w:rPr>
              <w:t>1)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 питания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102,6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 xml:space="preserve">104,9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100,6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 xml:space="preserve">99,4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101,0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100,7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108,5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 xml:space="preserve">120,8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102,5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99,2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99,3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 xml:space="preserve">96,9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102,8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103,1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 xml:space="preserve">106,8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rPr>
          <w:trHeight w:val="101"/>
        </w:trP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Крупа </w:t>
            </w:r>
            <w:proofErr w:type="spellStart"/>
            <w:proofErr w:type="gramStart"/>
            <w:r>
              <w:rPr>
                <w:snapToGrid w:val="0"/>
                <w:sz w:val="20"/>
              </w:rPr>
              <w:t>гречневая-ядрица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 xml:space="preserve">93,3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 xml:space="preserve">104,0 </w:t>
            </w:r>
            <w:r>
              <w:rPr>
                <w:vertAlign w:val="superscript"/>
              </w:rPr>
              <w:t>1)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102,7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99,2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 xml:space="preserve">95,0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103,4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104,1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104,0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101,7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101,3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99,2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98,1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99,5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102,1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107,8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104,8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 xml:space="preserve">113,2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108,0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105,8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106,9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102,3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108,7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97,8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95,1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100,1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98,2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 xml:space="preserve">95,4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102,1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103,5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 xml:space="preserve">112,5 </w:t>
            </w:r>
            <w:r>
              <w:rPr>
                <w:vertAlign w:val="superscript"/>
              </w:rPr>
              <w:t>1)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99,1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 xml:space="preserve">98,6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99,5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96,3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 xml:space="preserve">93,2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98,8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bookmarkStart w:id="0" w:name="_GoBack" w:colFirst="3" w:colLast="3"/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bookmarkEnd w:id="0"/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97,5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 xml:space="preserve">90,6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>
              <w:rPr>
                <w:snapToGrid w:val="0"/>
                <w:sz w:val="20"/>
              </w:rPr>
              <w:t>памперсы</w:t>
            </w:r>
            <w:proofErr w:type="spellEnd"/>
            <w:r>
              <w:rPr>
                <w:snapToGrid w:val="0"/>
                <w:sz w:val="20"/>
              </w:rPr>
              <w:t>)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99,4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99,1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99,5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Метамизол</w:t>
            </w:r>
            <w:proofErr w:type="spellEnd"/>
            <w:r>
              <w:rPr>
                <w:snapToGrid w:val="0"/>
                <w:sz w:val="20"/>
              </w:rPr>
              <w:t xml:space="preserve"> натрия (анальгин отечественный)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99,3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97,6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lastRenderedPageBreak/>
              <w:t>Нимесулид</w:t>
            </w:r>
            <w:proofErr w:type="spellEnd"/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100,7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101,7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Корвалол</w:t>
            </w:r>
            <w:proofErr w:type="spellEnd"/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95,8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93,6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97,7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Левомеколь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98,8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98,8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98,0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99,5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Аллохол</w:t>
            </w:r>
            <w:proofErr w:type="spellEnd"/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101,4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103,3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98,4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Бромгексин</w:t>
            </w:r>
            <w:proofErr w:type="spellEnd"/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99,5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без минералов отечественные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98,6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102,4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104,2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 xml:space="preserve">107,5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</w:tr>
      <w:tr>
        <w:tblPrEx>
          <w:tblLook w:val="04A0"/>
        </w:tblPrEx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blPrEx>
          <w:tblLook w:val="04A0"/>
        </w:tblPrEx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blPrEx>
          <w:tblLook w:val="04A0"/>
        </w:tblPrEx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blPrEx>
          <w:tblLook w:val="04A0"/>
        </w:tblPrEx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blPrEx>
          <w:tblLook w:val="04A0"/>
        </w:tblPrEx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blPrEx>
          <w:tblLook w:val="04A0"/>
        </w:tblPrEx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</w:tbl>
    <w:p>
      <w:pPr>
        <w:pStyle w:val="8"/>
        <w:spacing w:before="0"/>
        <w:rPr>
          <w:sz w:val="18"/>
          <w:szCs w:val="18"/>
        </w:rPr>
      </w:pPr>
      <w:r>
        <w:rPr>
          <w:color w:val="000000" w:themeColor="text1"/>
          <w:sz w:val="18"/>
          <w:szCs w:val="18"/>
          <w:vertAlign w:val="superscript"/>
        </w:rPr>
        <w:t>1</w:t>
      </w:r>
      <w:r>
        <w:rPr>
          <w:sz w:val="18"/>
          <w:szCs w:val="18"/>
          <w:vertAlign w:val="superscript"/>
        </w:rPr>
        <w:t xml:space="preserve">) </w:t>
      </w:r>
      <w:r>
        <w:rPr>
          <w:sz w:val="18"/>
          <w:szCs w:val="18"/>
        </w:rPr>
        <w:t>Изменение цены за  счет окончания акции;</w:t>
      </w:r>
    </w:p>
    <w:p>
      <w:pPr>
        <w:pStyle w:val="8"/>
        <w:spacing w:before="0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>
        <w:rPr>
          <w:color w:val="000000" w:themeColor="text1"/>
          <w:sz w:val="18"/>
          <w:szCs w:val="18"/>
          <w:vertAlign w:val="superscript"/>
        </w:rPr>
        <w:t xml:space="preserve">) </w:t>
      </w:r>
      <w:r>
        <w:rPr>
          <w:sz w:val="18"/>
          <w:szCs w:val="18"/>
        </w:rPr>
        <w:t>Изменение цены за счет действия акции;</w:t>
      </w:r>
    </w:p>
    <w:p>
      <w:pPr>
        <w:pStyle w:val="8"/>
        <w:spacing w:before="0"/>
      </w:pPr>
      <w:r>
        <w:rPr>
          <w:sz w:val="18"/>
          <w:szCs w:val="18"/>
          <w:vertAlign w:val="superscript"/>
        </w:rPr>
        <w:t>3)</w:t>
      </w:r>
      <w:r>
        <w:rPr>
          <w:sz w:val="18"/>
          <w:szCs w:val="18"/>
        </w:rPr>
        <w:t>Изменение цены за счет смены ассортимента и поставщиков продукции.</w:t>
      </w:r>
    </w:p>
    <w:p>
      <w:pPr>
        <w:pStyle w:val="8"/>
        <w:spacing w:before="0"/>
        <w:rPr>
          <w:sz w:val="18"/>
          <w:szCs w:val="18"/>
        </w:rPr>
      </w:pPr>
    </w:p>
    <w:p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>Информация подготовлена на основе еженедельной регистрации потребительских цен по важнейшим наименованиям товаров и услуг, которая осуществляется по понедельникам в 3 городах Республики Коми: Сыктывкар, Воркута, Ухта.</w:t>
      </w:r>
    </w:p>
    <w:p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>С 2021 года еженедельный мониторинг цен проводится по 106 товарам и услугам, в том числе товарам первой необходимости, лекарствам и медикаментам, средствам гигиены, детским товарам и т.д. В соответствии с приказом Росстата от 28.04.2021г. № 848 «Об утверждении набора потребительских товаров и услуг за ценами и тарифами» с 4 мая 2021г. внесены изменения в перечень еженедельно наблюдаемых лекарственных препаратов.</w:t>
      </w:r>
    </w:p>
    <w:p>
      <w:pPr>
        <w:pStyle w:val="1"/>
        <w:rPr>
          <w:rFonts w:ascii="Times New Roman" w:hAnsi="Times New Roman"/>
          <w:sz w:val="22"/>
        </w:rPr>
      </w:pPr>
    </w:p>
    <w:p>
      <w:pPr>
        <w:pStyle w:val="1"/>
        <w:rPr>
          <w:rFonts w:ascii="Times New Roman" w:hAnsi="Times New Roman"/>
          <w:sz w:val="22"/>
        </w:rPr>
      </w:pPr>
    </w:p>
    <w:p>
      <w:pPr>
        <w:pStyle w:val="1"/>
        <w:rPr>
          <w:rFonts w:ascii="Times New Roman" w:hAnsi="Times New Roman"/>
          <w:sz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781"/>
      </w:tblGrid>
      <w:tr>
        <w:tc>
          <w:tcPr>
            <w:tcW w:w="6070" w:type="dxa"/>
          </w:tcPr>
          <w:p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Заместитель руководителя</w:t>
            </w:r>
          </w:p>
        </w:tc>
        <w:tc>
          <w:tcPr>
            <w:tcW w:w="3781" w:type="dxa"/>
          </w:tcPr>
          <w:p>
            <w:pPr>
              <w:jc w:val="right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О.В. Цапкин</w:t>
            </w:r>
          </w:p>
        </w:tc>
      </w:tr>
    </w:tbl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Шарыгина Екатерина Николаевна</w:t>
      </w: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(8212) 28-57-39</w:t>
      </w: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>
      <w:footerReference w:type="default" r:id="rId7"/>
      <w:headerReference w:type="first" r:id="rId8"/>
      <w:pgSz w:w="11907" w:h="16840" w:code="9"/>
      <w:pgMar w:top="1418" w:right="851" w:bottom="567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pStyle w:val="1"/>
        <w:spacing w:before="0"/>
      </w:pPr>
      <w:r>
        <w:separator/>
      </w:r>
    </w:p>
  </w:endnote>
  <w:endnote w:type="continuationSeparator" w:id="1">
    <w:p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pStyle w:val="1"/>
        <w:spacing w:before="0"/>
      </w:pPr>
      <w:r>
        <w:separator/>
      </w:r>
    </w:p>
  </w:footnote>
  <w:footnote w:type="continuationSeparator" w:id="1">
    <w:p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4"/>
      <w:ind w:firstLine="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0" t="0" r="9525" b="6350"/>
          <wp:wrapTopAndBottom/>
          <wp:docPr id="1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экспресс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00737"/>
  </w:hdrShapeDefaults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0737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Strong"/>
    <w:basedOn w:val="a0"/>
    <w:uiPriority w:val="22"/>
    <w:qFormat/>
    <w:rPr>
      <w:b/>
      <w:bCs/>
    </w:rPr>
  </w:style>
  <w:style w:type="paragraph" w:styleId="ad">
    <w:name w:val="Revision"/>
    <w:hidden/>
    <w:uiPriority w:val="99"/>
    <w:semiHidden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B390C09-B5DC-4B33-922B-AD5669B2B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4</Pages>
  <Words>1277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cp:lastModifiedBy>GEG</cp:lastModifiedBy>
  <cp:revision>88</cp:revision>
  <cp:lastPrinted>2021-12-28T07:53:00Z</cp:lastPrinted>
  <dcterms:created xsi:type="dcterms:W3CDTF">2021-12-21T06:05:00Z</dcterms:created>
  <dcterms:modified xsi:type="dcterms:W3CDTF">2021-12-29T12:41:00Z</dcterms:modified>
</cp:coreProperties>
</file>