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499E143" w14:textId="77777777" w:rsidR="008A588D" w:rsidRPr="008A588D" w:rsidRDefault="008A588D" w:rsidP="008A5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588D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8A588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8A588D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11:12:1701005:795, сроком на 10 лет, имеющего площадь 25,0 кв. м., адрес: Российская Федерация, Республика Коми, муниципальный район «Печора», городское поселение «Печора», г. Печора, ул. Железнодорожная., категория земель – земли населенных пунктов, виды разрешенного использования: объекты складского назначения различного профиля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17801923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8A588D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4622E0AA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8A588D" w:rsidRPr="008A588D">
        <w:rPr>
          <w:rFonts w:ascii="Times New Roman" w:eastAsia="Times New Roman" w:hAnsi="Times New Roman"/>
          <w:sz w:val="26"/>
          <w:szCs w:val="26"/>
          <w:lang w:eastAsia="ru-RU"/>
        </w:rPr>
        <w:t>11:12:1701005:795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8A588D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20</cp:revision>
  <cp:lastPrinted>2021-12-17T09:48:00Z</cp:lastPrinted>
  <dcterms:created xsi:type="dcterms:W3CDTF">2018-09-19T09:58:00Z</dcterms:created>
  <dcterms:modified xsi:type="dcterms:W3CDTF">2022-04-07T11:19:00Z</dcterms:modified>
</cp:coreProperties>
</file>