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044973">
        <w:rPr>
          <w:szCs w:val="26"/>
        </w:rPr>
        <w:t>14.</w:t>
      </w:r>
      <w:r w:rsidR="00B86892">
        <w:rPr>
          <w:szCs w:val="26"/>
        </w:rPr>
        <w:t>_09.</w:t>
      </w:r>
      <w:r w:rsidR="008A16F6">
        <w:rPr>
          <w:szCs w:val="26"/>
        </w:rPr>
        <w:t>20</w:t>
      </w:r>
      <w:r w:rsidR="00C170B9">
        <w:rPr>
          <w:szCs w:val="26"/>
        </w:rPr>
        <w:t>2</w:t>
      </w:r>
      <w:r w:rsidR="00827EC5">
        <w:rPr>
          <w:szCs w:val="26"/>
        </w:rPr>
        <w:t>2</w:t>
      </w:r>
      <w:r w:rsidR="00E82B13">
        <w:rPr>
          <w:szCs w:val="26"/>
        </w:rPr>
        <w:t xml:space="preserve"> г. №</w:t>
      </w:r>
      <w:r w:rsidR="00E53DD2">
        <w:rPr>
          <w:szCs w:val="26"/>
        </w:rPr>
        <w:t xml:space="preserve"> </w:t>
      </w:r>
      <w:r w:rsidR="00044973">
        <w:rPr>
          <w:szCs w:val="26"/>
        </w:rPr>
        <w:t>1756</w:t>
      </w:r>
      <w:bookmarkStart w:id="0" w:name="_GoBack"/>
      <w:bookmarkEnd w:id="0"/>
    </w:p>
    <w:p w:rsidR="004815C7" w:rsidRDefault="004815C7" w:rsidP="008A16F6">
      <w:pPr>
        <w:widowControl w:val="0"/>
        <w:jc w:val="right"/>
        <w:rPr>
          <w:szCs w:val="26"/>
        </w:rPr>
      </w:pPr>
    </w:p>
    <w:p w:rsidR="008A16F6" w:rsidRPr="00334281" w:rsidRDefault="008A16F6" w:rsidP="00334281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481513" w:rsidRDefault="00481513" w:rsidP="00481513">
      <w:pPr>
        <w:pStyle w:val="a7"/>
        <w:jc w:val="both"/>
        <w:rPr>
          <w:rFonts w:eastAsia="Times New Roman"/>
          <w:szCs w:val="26"/>
        </w:rPr>
      </w:pP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1" w:name="P30"/>
            <w:bookmarkEnd w:id="1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B434B0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Количество граждан, переселенных  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8F506B">
              <w:rPr>
                <w:color w:val="000000"/>
                <w:szCs w:val="26"/>
              </w:rPr>
              <w:t>2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2F2534" w:rsidRPr="002D08B7">
              <w:rPr>
                <w:color w:val="000000"/>
                <w:szCs w:val="26"/>
              </w:rPr>
              <w:t>2</w:t>
            </w:r>
            <w:r w:rsidR="00B434B0">
              <w:rPr>
                <w:color w:val="000000"/>
                <w:szCs w:val="26"/>
              </w:rPr>
              <w:t>27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B86892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8F506B">
            <w:r w:rsidRPr="00DB3B7B">
              <w:t>2020-202</w:t>
            </w:r>
            <w:r w:rsidR="008F506B">
              <w:t>2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составляет              </w:t>
            </w:r>
            <w:r w:rsidR="003D2E4D">
              <w:rPr>
                <w:rFonts w:eastAsia="Batang"/>
                <w:szCs w:val="26"/>
              </w:rPr>
              <w:t>145 433 510,70</w:t>
            </w:r>
            <w:r w:rsidRPr="00F451A8">
              <w:rPr>
                <w:rFonts w:eastAsia="Batang"/>
                <w:szCs w:val="26"/>
              </w:rPr>
              <w:t xml:space="preserve">  рублей, в том числе по годам: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2021 год – </w:t>
            </w:r>
            <w:r w:rsidR="00626566">
              <w:rPr>
                <w:rFonts w:eastAsia="Batang"/>
                <w:szCs w:val="26"/>
              </w:rPr>
              <w:t>26 041 222,55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- 1</w:t>
            </w:r>
            <w:r w:rsidR="00626566">
              <w:rPr>
                <w:rFonts w:eastAsia="Batang"/>
                <w:szCs w:val="26"/>
              </w:rPr>
              <w:t> 302 061,1</w:t>
            </w:r>
            <w:r w:rsidR="00553490">
              <w:rPr>
                <w:rFonts w:eastAsia="Batang"/>
                <w:szCs w:val="26"/>
              </w:rPr>
              <w:t>2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</w:t>
            </w:r>
            <w:r w:rsidR="009B1D5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бюджет Республики Коми – </w:t>
            </w:r>
            <w:r w:rsidR="00626566">
              <w:rPr>
                <w:rFonts w:eastAsia="Batang"/>
                <w:szCs w:val="26"/>
              </w:rPr>
              <w:t>24 739 161,4</w:t>
            </w:r>
            <w:r w:rsidR="00553490">
              <w:rPr>
                <w:rFonts w:eastAsia="Batang"/>
                <w:szCs w:val="26"/>
              </w:rPr>
              <w:t>3</w:t>
            </w:r>
            <w:r w:rsidRPr="00F451A8">
              <w:rPr>
                <w:rFonts w:eastAsia="Batang"/>
                <w:szCs w:val="26"/>
              </w:rPr>
              <w:t xml:space="preserve">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2022 год – </w:t>
            </w:r>
            <w:r w:rsidR="003D2E4D">
              <w:rPr>
                <w:rFonts w:eastAsia="Batang"/>
                <w:szCs w:val="26"/>
              </w:rPr>
              <w:t>30 315 780,54</w:t>
            </w:r>
            <w:r w:rsidR="008F506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бюджет МО МР «Печора» - </w:t>
            </w:r>
            <w:r w:rsidR="003D2E4D">
              <w:rPr>
                <w:rFonts w:eastAsia="Batang"/>
                <w:szCs w:val="26"/>
              </w:rPr>
              <w:t>1 515 789,03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637517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3D2E4D">
              <w:rPr>
                <w:rFonts w:eastAsia="Batang"/>
                <w:szCs w:val="26"/>
              </w:rPr>
              <w:t>28 799 991,51</w:t>
            </w:r>
            <w:r w:rsidR="008F506B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406E47" w:rsidP="00B46AC5">
            <w:pPr>
              <w:rPr>
                <w:rFonts w:eastAsia="Batang"/>
                <w:szCs w:val="26"/>
              </w:rPr>
            </w:pP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390B15">
        <w:t>2</w:t>
      </w:r>
      <w:r w:rsidRPr="00F451A8">
        <w:t xml:space="preserve"> к муниципальной адресной программе изложить в редакции согласно приложению  </w:t>
      </w:r>
      <w:r w:rsidR="00390B15">
        <w:t xml:space="preserve">2 </w:t>
      </w:r>
      <w:r w:rsidRPr="00F451A8">
        <w:t>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14.08.2019г. № 958.</w:t>
      </w: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4973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3070A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7B99"/>
    <w:rsid w:val="00B8635F"/>
    <w:rsid w:val="00B86892"/>
    <w:rsid w:val="00BA34E2"/>
    <w:rsid w:val="00BA58BF"/>
    <w:rsid w:val="00BB0A4E"/>
    <w:rsid w:val="00BC390B"/>
    <w:rsid w:val="00BD4F14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6F10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04267-A8D5-4847-8637-CE56274E2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4</cp:revision>
  <cp:lastPrinted>2022-09-13T06:54:00Z</cp:lastPrinted>
  <dcterms:created xsi:type="dcterms:W3CDTF">2022-09-13T06:45:00Z</dcterms:created>
  <dcterms:modified xsi:type="dcterms:W3CDTF">2022-09-16T10:59:00Z</dcterms:modified>
</cp:coreProperties>
</file>