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2B" w:rsidRDefault="00EE312B" w:rsidP="00EE312B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  <w:r w:rsidRPr="0035799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EE312B" w:rsidRDefault="00EE312B" w:rsidP="00EE312B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  <w:r w:rsidRPr="0035799B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</w:p>
    <w:p w:rsidR="00EE312B" w:rsidRDefault="00EE312B" w:rsidP="00EE312B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EE312B" w:rsidRDefault="00EE312B" w:rsidP="00EE312B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от «____» __________ 2017 года № _____</w:t>
      </w:r>
    </w:p>
    <w:p w:rsidR="00EE312B" w:rsidRPr="00215B9E" w:rsidRDefault="00EE312B" w:rsidP="00EE312B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EE312B" w:rsidRDefault="00EE312B" w:rsidP="00EE312B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об</w:t>
      </w:r>
      <w:r w:rsidRPr="00A06F1F">
        <w:rPr>
          <w:sz w:val="26"/>
          <w:szCs w:val="26"/>
        </w:rPr>
        <w:t xml:space="preserve"> общественной комиссии </w:t>
      </w:r>
      <w:r>
        <w:rPr>
          <w:sz w:val="26"/>
          <w:szCs w:val="26"/>
        </w:rPr>
        <w:t>по</w:t>
      </w:r>
      <w:r w:rsidRPr="00A06F1F">
        <w:rPr>
          <w:sz w:val="26"/>
          <w:szCs w:val="26"/>
        </w:rPr>
        <w:t xml:space="preserve"> реализации приоритетного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проекта «Формирование комфортной городской среды»</w:t>
      </w:r>
    </w:p>
    <w:p w:rsidR="00EE312B" w:rsidRDefault="00EE312B" w:rsidP="00EE312B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</w:p>
    <w:p w:rsidR="00EE312B" w:rsidRPr="00A06F1F" w:rsidRDefault="00EE312B" w:rsidP="00EE312B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Общие положения</w:t>
      </w:r>
    </w:p>
    <w:p w:rsidR="00EE312B" w:rsidRPr="00A06F1F" w:rsidRDefault="00EE312B" w:rsidP="00EE312B">
      <w:pPr>
        <w:pStyle w:val="formattext"/>
        <w:shd w:val="clear" w:color="auto" w:fill="FFFFFF"/>
        <w:ind w:left="360"/>
        <w:contextualSpacing/>
        <w:textAlignment w:val="baseline"/>
        <w:rPr>
          <w:sz w:val="26"/>
          <w:szCs w:val="26"/>
        </w:rPr>
      </w:pP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A06F1F">
        <w:rPr>
          <w:sz w:val="26"/>
          <w:szCs w:val="26"/>
        </w:rPr>
        <w:t>бщественная комиссия в рамках реализации приоритетного проекта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«Формирование комфортной городской среды» (далее - Комиссия), является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совещательным органом, образованным в целях обеспечения качественной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разработки, координации и мониторинга реализации муниципальной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программы «Формирование </w:t>
      </w:r>
      <w:r>
        <w:rPr>
          <w:sz w:val="26"/>
          <w:szCs w:val="26"/>
        </w:rPr>
        <w:t xml:space="preserve">комфортной </w:t>
      </w:r>
      <w:r w:rsidRPr="00A06F1F">
        <w:rPr>
          <w:sz w:val="26"/>
          <w:szCs w:val="26"/>
        </w:rPr>
        <w:t>городской среды».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2. В своей деятельности Комиссия руководствуется Конституцией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Российской Федерации, законодательством Российской Федерации,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законодательством </w:t>
      </w:r>
      <w:r>
        <w:rPr>
          <w:sz w:val="26"/>
          <w:szCs w:val="26"/>
        </w:rPr>
        <w:t>Республики Коми</w:t>
      </w:r>
      <w:r w:rsidRPr="00A06F1F">
        <w:rPr>
          <w:sz w:val="26"/>
          <w:szCs w:val="26"/>
        </w:rPr>
        <w:t>, муниципальными правовыми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актами </w:t>
      </w:r>
      <w:r>
        <w:rPr>
          <w:sz w:val="26"/>
          <w:szCs w:val="26"/>
        </w:rPr>
        <w:t>муниципального образования муниципального района «Печора», муниципальными правовыми актами муниципального образования городского поселения «Печора»,</w:t>
      </w:r>
      <w:r w:rsidRPr="00A06F1F">
        <w:rPr>
          <w:sz w:val="26"/>
          <w:szCs w:val="26"/>
        </w:rPr>
        <w:t xml:space="preserve"> настоящим Положением.</w:t>
      </w:r>
    </w:p>
    <w:p w:rsidR="00EE312B" w:rsidRPr="00A06F1F" w:rsidRDefault="00EE312B" w:rsidP="00EE312B">
      <w:pPr>
        <w:pStyle w:val="formattext"/>
        <w:shd w:val="clear" w:color="auto" w:fill="FFFFFF"/>
        <w:contextualSpacing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Задачи Комиссии</w:t>
      </w:r>
    </w:p>
    <w:p w:rsidR="00EE312B" w:rsidRPr="00A06F1F" w:rsidRDefault="00EE312B" w:rsidP="00EE312B">
      <w:pPr>
        <w:pStyle w:val="formattext"/>
        <w:shd w:val="clear" w:color="auto" w:fill="FFFFFF"/>
        <w:ind w:left="360"/>
        <w:contextualSpacing/>
        <w:textAlignment w:val="baseline"/>
        <w:rPr>
          <w:sz w:val="26"/>
          <w:szCs w:val="26"/>
        </w:rPr>
      </w:pP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1. Основными задачами Комиссии являются: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− рассмотрение и оценка предложений по благоустройству дворовых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территорий в целях включения в муниципальную программу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«Формирование </w:t>
      </w:r>
      <w:r>
        <w:rPr>
          <w:sz w:val="26"/>
          <w:szCs w:val="26"/>
        </w:rPr>
        <w:t>комфортной</w:t>
      </w:r>
      <w:r w:rsidRPr="00A06F1F">
        <w:rPr>
          <w:sz w:val="26"/>
          <w:szCs w:val="26"/>
        </w:rPr>
        <w:t xml:space="preserve"> городской среды»;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− рассмотрение и оценка предложений по благоустройству наиболее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посещаемых </w:t>
      </w:r>
      <w:r>
        <w:rPr>
          <w:sz w:val="26"/>
          <w:szCs w:val="26"/>
        </w:rPr>
        <w:t>городских</w:t>
      </w:r>
      <w:r w:rsidRPr="00A06F1F">
        <w:rPr>
          <w:sz w:val="26"/>
          <w:szCs w:val="26"/>
        </w:rPr>
        <w:t xml:space="preserve"> территорий общего пользования в целях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включения в муниципальную программу «Формирование </w:t>
      </w:r>
      <w:r>
        <w:rPr>
          <w:sz w:val="26"/>
          <w:szCs w:val="26"/>
        </w:rPr>
        <w:t xml:space="preserve">комфортной </w:t>
      </w:r>
      <w:r w:rsidRPr="00A06F1F">
        <w:rPr>
          <w:sz w:val="26"/>
          <w:szCs w:val="26"/>
        </w:rPr>
        <w:t>городской среды»</w:t>
      </w:r>
      <w:r>
        <w:rPr>
          <w:sz w:val="26"/>
          <w:szCs w:val="26"/>
        </w:rPr>
        <w:t>;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– оценка, составление рейтинга </w:t>
      </w:r>
      <w:r w:rsidRPr="00BF6A66">
        <w:rPr>
          <w:sz w:val="26"/>
          <w:szCs w:val="26"/>
        </w:rPr>
        <w:t xml:space="preserve">поступивших </w:t>
      </w:r>
      <w:r>
        <w:rPr>
          <w:sz w:val="26"/>
          <w:szCs w:val="26"/>
        </w:rPr>
        <w:t>предложений, выработка и принятие решений о внесении предложений в проект муниципальной программы «Формирование комфортной городской среды»;</w:t>
      </w:r>
      <w:r w:rsidRPr="00001BBE">
        <w:rPr>
          <w:sz w:val="26"/>
          <w:szCs w:val="26"/>
        </w:rPr>
        <w:t xml:space="preserve"> 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– учёт предложений, поступивших в результате общественных обсуждений по проекту муниципальной программы «Формирование комфортной городской среды»;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− выработка рекомендаций по результатам работы Комиссии</w:t>
      </w:r>
      <w:r>
        <w:rPr>
          <w:sz w:val="26"/>
          <w:szCs w:val="26"/>
        </w:rPr>
        <w:t xml:space="preserve"> для эффективной работы ответственного исполнителя по реализации муниципальной программы «Формирование комфортной городской среды» на каждом этапе;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осуществление контроля и координации </w:t>
      </w:r>
      <w:r>
        <w:rPr>
          <w:sz w:val="26"/>
          <w:szCs w:val="26"/>
        </w:rPr>
        <w:t xml:space="preserve">действий по </w:t>
      </w:r>
      <w:r w:rsidRPr="00A06F1F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муниципальной программы «Формирование </w:t>
      </w:r>
      <w:r>
        <w:rPr>
          <w:sz w:val="26"/>
          <w:szCs w:val="26"/>
        </w:rPr>
        <w:t>комфортной</w:t>
      </w:r>
      <w:r w:rsidRPr="00A06F1F">
        <w:rPr>
          <w:sz w:val="26"/>
          <w:szCs w:val="26"/>
        </w:rPr>
        <w:t xml:space="preserve"> городской среды»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после ее утве</w:t>
      </w:r>
      <w:r>
        <w:rPr>
          <w:sz w:val="26"/>
          <w:szCs w:val="26"/>
        </w:rPr>
        <w:t>рждения в установленном порядке.</w:t>
      </w:r>
    </w:p>
    <w:p w:rsidR="00EE312B" w:rsidRDefault="00EE312B" w:rsidP="00EE312B">
      <w:pPr>
        <w:pStyle w:val="formattext"/>
        <w:shd w:val="clear" w:color="auto" w:fill="FFFFFF"/>
        <w:contextualSpacing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shd w:val="clear" w:color="auto" w:fill="FFFFFF"/>
        <w:contextualSpacing/>
        <w:textAlignment w:val="baseline"/>
        <w:rPr>
          <w:sz w:val="26"/>
          <w:szCs w:val="26"/>
        </w:rPr>
      </w:pPr>
    </w:p>
    <w:p w:rsidR="00EE312B" w:rsidRPr="00A06F1F" w:rsidRDefault="00EE312B" w:rsidP="00EE312B">
      <w:pPr>
        <w:pStyle w:val="formattext"/>
        <w:shd w:val="clear" w:color="auto" w:fill="FFFFFF"/>
        <w:contextualSpacing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Состав Комиссии</w:t>
      </w:r>
    </w:p>
    <w:p w:rsidR="00EE312B" w:rsidRPr="00A06F1F" w:rsidRDefault="00EE312B" w:rsidP="00EE312B">
      <w:pPr>
        <w:pStyle w:val="formattext"/>
        <w:shd w:val="clear" w:color="auto" w:fill="FFFFFF"/>
        <w:contextualSpacing/>
        <w:textAlignment w:val="baseline"/>
        <w:rPr>
          <w:sz w:val="26"/>
          <w:szCs w:val="26"/>
        </w:rPr>
      </w:pP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1. Состав Комиссии утверждается постановлением администрации</w:t>
      </w:r>
      <w:r>
        <w:rPr>
          <w:sz w:val="26"/>
          <w:szCs w:val="26"/>
        </w:rPr>
        <w:t xml:space="preserve"> МР «Печора»</w:t>
      </w:r>
      <w:r w:rsidRPr="00A06F1F">
        <w:rPr>
          <w:sz w:val="26"/>
          <w:szCs w:val="26"/>
        </w:rPr>
        <w:t>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2. Комиссия формируется в составе председателя Комиссии, его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заместителя, секретаря и членов Комиссии.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3. В состав Комиссии включаются: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– представители органов местного самоуправления муниципального образования городского поселения «Печора»;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− представ</w:t>
      </w:r>
      <w:r>
        <w:rPr>
          <w:sz w:val="26"/>
          <w:szCs w:val="26"/>
        </w:rPr>
        <w:t>итель учреждения, осуществляющего</w:t>
      </w:r>
      <w:r w:rsidRPr="00A06F1F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государственный жилищный надзор</w:t>
      </w:r>
      <w:r w:rsidRPr="00A06F1F">
        <w:rPr>
          <w:sz w:val="26"/>
          <w:szCs w:val="26"/>
        </w:rPr>
        <w:t>;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</w:t>
      </w:r>
      <w:r>
        <w:rPr>
          <w:sz w:val="26"/>
          <w:szCs w:val="26"/>
        </w:rPr>
        <w:t>руководители структурных подразделений администрации МР «Печора» по реализации предложений в рамках муниципальной программы «Формирование комфортной городской среды</w:t>
      </w:r>
      <w:r w:rsidRPr="00A06F1F">
        <w:rPr>
          <w:sz w:val="26"/>
          <w:szCs w:val="26"/>
        </w:rPr>
        <w:t>;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</w:t>
      </w:r>
      <w:r>
        <w:rPr>
          <w:sz w:val="26"/>
          <w:szCs w:val="26"/>
        </w:rPr>
        <w:t>руководитель финансового органа администрации МР «Печора»</w:t>
      </w:r>
      <w:r w:rsidRPr="00A06F1F">
        <w:rPr>
          <w:sz w:val="26"/>
          <w:szCs w:val="26"/>
        </w:rPr>
        <w:t>;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 xml:space="preserve">− представители общественных организаций </w:t>
      </w:r>
      <w:r>
        <w:rPr>
          <w:sz w:val="26"/>
          <w:szCs w:val="26"/>
        </w:rPr>
        <w:t>муниципального образования муниципального района «Печора», городского поселения «Печора»</w:t>
      </w:r>
      <w:r w:rsidRPr="00A06F1F">
        <w:rPr>
          <w:sz w:val="26"/>
          <w:szCs w:val="26"/>
        </w:rPr>
        <w:t>;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textAlignment w:val="baseline"/>
        <w:rPr>
          <w:sz w:val="26"/>
          <w:szCs w:val="26"/>
        </w:rPr>
      </w:pPr>
      <w:r>
        <w:rPr>
          <w:sz w:val="26"/>
          <w:szCs w:val="26"/>
        </w:rPr>
        <w:t>– представитель средств массовой информации.</w:t>
      </w:r>
    </w:p>
    <w:p w:rsidR="00EE312B" w:rsidRPr="00A06F1F" w:rsidRDefault="00EE312B" w:rsidP="00EE312B">
      <w:pPr>
        <w:pStyle w:val="formattext"/>
        <w:shd w:val="clear" w:color="auto" w:fill="FFFFFF"/>
        <w:ind w:left="567"/>
        <w:contextualSpacing/>
        <w:textAlignment w:val="baseline"/>
        <w:rPr>
          <w:sz w:val="26"/>
          <w:szCs w:val="26"/>
        </w:rPr>
      </w:pPr>
    </w:p>
    <w:p w:rsidR="00EE312B" w:rsidRDefault="00EE312B" w:rsidP="00EE312B">
      <w:pPr>
        <w:pStyle w:val="formattext"/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Порядок деятельности Комиссии</w:t>
      </w:r>
    </w:p>
    <w:p w:rsidR="00EE312B" w:rsidRPr="00A06F1F" w:rsidRDefault="00EE312B" w:rsidP="00EE312B">
      <w:pPr>
        <w:pStyle w:val="formattext"/>
        <w:shd w:val="clear" w:color="auto" w:fill="FFFFFF"/>
        <w:ind w:left="360"/>
        <w:contextualSpacing/>
        <w:textAlignment w:val="baseline"/>
        <w:rPr>
          <w:sz w:val="26"/>
          <w:szCs w:val="26"/>
        </w:rPr>
      </w:pP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1. Работу комиссии организует председатель Комиссии.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2. В отсутствие председателя Комиссии его обязанности исполняет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заместитель председателя Комиссии.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3. Основной формой работы Комиссии является заседание. Заседания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Комиссии проводятся по мере необходимости.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4. Заседание Комиссии проводит председатель, а в его отсутствие -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заместитель председателя Комиссии.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5. Заседание Комиссии является правомочным, если на нем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присутствует </w:t>
      </w:r>
      <w:r>
        <w:rPr>
          <w:sz w:val="26"/>
          <w:szCs w:val="26"/>
        </w:rPr>
        <w:t xml:space="preserve">не менее 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/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её</w:t>
      </w:r>
      <w:r w:rsidRPr="00A06F1F">
        <w:rPr>
          <w:sz w:val="26"/>
          <w:szCs w:val="26"/>
        </w:rPr>
        <w:t xml:space="preserve"> членов.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6. Решения Комиссии принимаются простым большинством голосов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присутствующих на заседании членов Комиссии путем открытого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голосования. При равенстве голосов решающим является голос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председателя</w:t>
      </w:r>
      <w:r>
        <w:rPr>
          <w:sz w:val="26"/>
          <w:szCs w:val="26"/>
        </w:rPr>
        <w:t xml:space="preserve"> (председательствующего)</w:t>
      </w:r>
      <w:r w:rsidRPr="00A06F1F">
        <w:rPr>
          <w:sz w:val="26"/>
          <w:szCs w:val="26"/>
        </w:rPr>
        <w:t>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Pr="00A06F1F">
        <w:rPr>
          <w:sz w:val="26"/>
          <w:szCs w:val="26"/>
        </w:rPr>
        <w:t>. Контроль за выполнением решений Комиссии осуществляет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председатель Комиссии.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Pr="00A06F1F">
        <w:rPr>
          <w:sz w:val="26"/>
          <w:szCs w:val="26"/>
        </w:rPr>
        <w:t xml:space="preserve">. По результатам </w:t>
      </w:r>
      <w:r>
        <w:rPr>
          <w:sz w:val="26"/>
          <w:szCs w:val="26"/>
        </w:rPr>
        <w:t>своей работы</w:t>
      </w:r>
      <w:r w:rsidRPr="00A06F1F">
        <w:rPr>
          <w:sz w:val="26"/>
          <w:szCs w:val="26"/>
        </w:rPr>
        <w:t xml:space="preserve"> Комиссия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принимает рекомендации, которые</w:t>
      </w:r>
      <w:r>
        <w:rPr>
          <w:sz w:val="26"/>
          <w:szCs w:val="26"/>
        </w:rPr>
        <w:t xml:space="preserve"> оформляются протоколом и</w:t>
      </w:r>
      <w:r w:rsidRPr="00A06F1F">
        <w:rPr>
          <w:sz w:val="26"/>
          <w:szCs w:val="26"/>
        </w:rPr>
        <w:t xml:space="preserve"> подписываются председателем и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>секретарем.</w:t>
      </w:r>
    </w:p>
    <w:p w:rsidR="00EE312B" w:rsidRPr="00A06F1F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9. Протокол с рекомендациями Комиссии рассылается секретарём Комиссии ответственным исполнителям по реализации муниципальной программы «Формирование комфортной городской среды».</w:t>
      </w:r>
    </w:p>
    <w:p w:rsidR="00EE312B" w:rsidRDefault="00EE312B" w:rsidP="00EE312B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06F1F">
        <w:rPr>
          <w:sz w:val="26"/>
          <w:szCs w:val="26"/>
        </w:rPr>
        <w:t>10. Организационно-техническое обеспечение деятельности Комиссии</w:t>
      </w:r>
      <w:r>
        <w:rPr>
          <w:sz w:val="26"/>
          <w:szCs w:val="26"/>
        </w:rPr>
        <w:t xml:space="preserve"> </w:t>
      </w:r>
      <w:r w:rsidRPr="00A06F1F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>отделом городского хозяйства и благоустройства администрации</w:t>
      </w:r>
      <w:r w:rsidRPr="00A06F1F">
        <w:rPr>
          <w:sz w:val="26"/>
          <w:szCs w:val="26"/>
        </w:rPr>
        <w:t xml:space="preserve"> </w:t>
      </w:r>
      <w:r>
        <w:rPr>
          <w:sz w:val="26"/>
          <w:szCs w:val="26"/>
        </w:rPr>
        <w:t>МР «Печора»</w:t>
      </w:r>
      <w:r w:rsidRPr="00A06F1F">
        <w:rPr>
          <w:sz w:val="26"/>
          <w:szCs w:val="26"/>
        </w:rPr>
        <w:t>.</w:t>
      </w:r>
    </w:p>
    <w:p w:rsidR="00724967" w:rsidRDefault="00724967">
      <w:bookmarkStart w:id="0" w:name="_GoBack"/>
      <w:bookmarkEnd w:id="0"/>
    </w:p>
    <w:sectPr w:rsidR="0072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049C"/>
    <w:multiLevelType w:val="hybridMultilevel"/>
    <w:tmpl w:val="D6CCF97A"/>
    <w:lvl w:ilvl="0" w:tplc="3A0EB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2B"/>
    <w:rsid w:val="00724967"/>
    <w:rsid w:val="00E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1BAA-7B1D-4D52-968B-F9F6B0E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E312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EE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2017-06-01T08:33:00Z</dcterms:created>
  <dcterms:modified xsi:type="dcterms:W3CDTF">2017-06-01T08:33:00Z</dcterms:modified>
</cp:coreProperties>
</file>