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0E" w:rsidRDefault="0052610E" w:rsidP="0052610E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  <w:t>Т</w:t>
      </w:r>
      <w:r w:rsidRPr="0052610E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  <w:t>ема Всемирного дня защиты прав потребителей</w:t>
      </w:r>
    </w:p>
    <w:p w:rsidR="0052610E" w:rsidRPr="0052610E" w:rsidRDefault="0052610E" w:rsidP="0052610E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</w:pP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Consumers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International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объявил тему Всемирного дня прав потребителей 2022 года —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Fair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Digital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Finance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— </w:t>
      </w:r>
      <w:r w:rsidRPr="0052610E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«Справедливые цифровые финансовые услуги</w:t>
      </w: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».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Исследования показывают, насколько быстро происходит развитие цифровых финансов. Ожидается, что к 2024 году число потребителей цифровых банковских услуг превысит 3,6 миллиарда человек (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Juniper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Research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, 2020). В развивающихся странах доля владельцев счетов, отправляющих и получающих электронные платежи, выросла с 57% в 2014 году до 70% в 2017 году (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Findex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, 2017). 39% компаний считают внедрение финансовых технологий своим приоритетом, подчеркивая мировой спрос на более инновационный финансовый ландшафт (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JDSpura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, 2020).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 xml:space="preserve">Напомним, что в зарубежном финансовом мире даже обсуждается такой феномен, как «русское чудо». В 2020 году Россия вошла в топ-5 стран по отказу от наличных, а пандемия ускорила изменения в индустрии платежей, которые обычно занимают около 10 лет. Впервые о «русском чуде» заговорили в 2019 году, когда по итогам 2010–2018 годов был выявлен феноменальный, 30-кратный рост числа безналичных карточных транзакций: с 5,8 до 172 в год на человека. Тогда по этому показателю Россия обогнала все страны Европы, в том числе лидеров, которые за тот же период показали двух- и трехкратный рост (исследование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Boston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Consulting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Group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, 2019).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 xml:space="preserve">Вопросы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цифровизации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сферы финансовых услуг, в том числе проблемы внедрения технологий искусственного интеллекта, использования «больших данных» (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BigData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), проблемы регулирования трансграничных цифровых платформ становятся предметом исследований, которые проводятся на площадках ОЭСР, UNCTAD и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FinCoNet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.</w:t>
      </w: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 xml:space="preserve">Как показывает анализ обращений на нарушения прав потребителей при оказании финансовых услуг, поступивших в территориальные органы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Роспотребнадзора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, их структура и содержание на протяжении последних лет практически не меняется. 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Наиболее актуальными проблемами по-прежнему остаются недобросовестные практики, посягающие на следующие права потребителя: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– на безопасность услуги (хищение денежных средств со счета потребителя, взыскание задолженности).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 xml:space="preserve">Достаточно длительным и серьезным является и диалог различных участников рынка и государственных органов о последствиях лавинного роста интереса обычных граждан к инвестированию. Упрощение процесса приобретения финансовых инструментов (акции, облигации, доверительное управление и некоторые иные) за счет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цифровизации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продаж способствовали поиску потребителями потенциально более доходных инструментов инвестирования, альтернативных банковским вкладам. На развитие этого процесса во многом повлияли банки, которые заинтересованы в расширении продаж финансовых продуктов с целью наращивания комиссионных доходов. Наибольшей популярностью у физических лиц пользуются вложения в ценные бумаги через брокерские счета.</w:t>
      </w: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Однако «безналичное потребление» также создает новые и усугубляет традиционные риски для тех, кто находится в уязвимом положении и не готов к таким динамичным переменам.</w:t>
      </w: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Роспотребнадзор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неоднократно указывал, что требуется изменение </w:t>
      </w:r>
      <w:proofErr w:type="gram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механизмов защиты прав потребителей финансовых услуг</w:t>
      </w:r>
      <w:proofErr w:type="gram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по переводу денежных средств, в связи с низким уровнем безопасности таких операций, с целью защиты денежных средств потребителей от действий </w:t>
      </w:r>
      <w:proofErr w:type="spell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киберпреступников</w:t>
      </w:r>
      <w:proofErr w:type="spellEnd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 телефонных мошенников.</w:t>
      </w:r>
    </w:p>
    <w:p w:rsid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</w:t>
      </w:r>
    </w:p>
    <w:p w:rsidR="004D360A" w:rsidRPr="0052610E" w:rsidRDefault="0052610E" w:rsidP="0052610E">
      <w:pPr>
        <w:shd w:val="clear" w:color="auto" w:fill="FFFFFF"/>
        <w:spacing w:after="240"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gramStart"/>
      <w:r w:rsidRPr="0052610E">
        <w:rPr>
          <w:rFonts w:ascii="Times New Roman" w:eastAsia="Times New Roman" w:hAnsi="Times New Roman" w:cs="Times New Roman"/>
          <w:color w:val="4F4F4F"/>
          <w:sz w:val="24"/>
          <w:szCs w:val="24"/>
        </w:rPr>
        <w:t>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  <w:r w:rsidRPr="00526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4D360A" w:rsidRPr="0052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10E"/>
    <w:rsid w:val="004D360A"/>
    <w:rsid w:val="0052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1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4868</Characters>
  <Application>Microsoft Office Word</Application>
  <DocSecurity>0</DocSecurity>
  <Lines>40</Lines>
  <Paragraphs>11</Paragraphs>
  <ScaleCrop>false</ScaleCrop>
  <Company>ФФБУЗ Печора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2022-01-27T06:08:00Z</dcterms:created>
  <dcterms:modified xsi:type="dcterms:W3CDTF">2022-01-27T06:13:00Z</dcterms:modified>
</cp:coreProperties>
</file>