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0E" w:rsidRDefault="0052610E" w:rsidP="0052610E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  <w:t>Т</w:t>
      </w:r>
      <w:r w:rsidRPr="0052610E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  <w:t>ема Всемирного дня защиты прав потребителей</w:t>
      </w:r>
    </w:p>
    <w:p w:rsidR="0052610E" w:rsidRPr="0052610E" w:rsidRDefault="0052610E" w:rsidP="0052610E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</w:pP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Consumers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International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объявил тему Всемирного дня прав потребителей 2022 года —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Fair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Digital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Finance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— </w:t>
      </w:r>
      <w:r w:rsidRPr="0052610E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«Справедливые цифровые финансовые услуги</w:t>
      </w: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».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Пандемия СOVID-19 усилила тенденцию, связанную с развитием цифровых услуг. Безусловным преимуществом такого развития является прозрачность и скорость оказания финансовых услуг.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Исследования показывают, насколько быстро происходит развитие цифровых финансов. Ожидается, что к 2024 году число потребителей цифровых банковских услуг превысит 3,6 миллиарда человек (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Juniper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Research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, 2020). В развивающихся странах доля владельцев счетов, отправляющих и получающих электронные платежи, выросла с 57% в 2014 году до 70% в 2017 году (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Findex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, 2017). 39% компаний считают внедрение финансовых технологий своим приоритетом, подчеркивая мировой спрос на более инновационный финансовый ландшафт (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JDSpura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, 2020).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 xml:space="preserve">Напомним, что в зарубежном финансовом мире даже обсуждается такой феномен, как «русское чудо». В 2020 году Россия вошла в топ-5 стран по отказу от наличных, а пандемия ускорила изменения в индустрии платежей, которые обычно занимают около 10 лет. Впервые о «русском чуде» заговорили в 2019 году, когда по итогам 2010–2018 годов был выявлен феноменальный, 30-кратный рост числа безналичных карточных транзакций: с 5,8 до 172 в год на человека. Тогда по этому показателю Россия обогнала все страны Европы, в том числе лидеров, которые за тот же период показали двух- и трехкратный рост (исследование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Boston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Consulting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Group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, 2019).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Однако в таких условиях существенно возрастает и риск финансового мошенничества, а отдельные категории граждан могут быть ограничены в доступе к услугам, которые перестают оказываться в традиционных каналах.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 xml:space="preserve">Вопросы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цифровизации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сферы финансовых услуг, в том числе проблемы внедрения технологий искусственного интеллекта, использования «больших данных» (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BigData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), проблемы регулирования трансграничных цифровых платформ становятся предметом исследований, которые проводятся на площадках ОЭСР, UNCTAD и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FinCoNet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.</w:t>
      </w: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 xml:space="preserve">Как показывает анализ обращений на нарушения прав потребителей при оказании финансовых услуг, поступивших в территориальные органы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Роспотребнадзора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, их структура и содержание на протяжении последних лет практически не меняется. 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Наиболее актуальными проблемами по-прежнему остаются недобросовестные практики, посягающие на следующие права потребителя: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– на свободный выбор (навязывание дополнительных услуг без согласия потребителя, отказ в предоставлении финансовых услуг, блокировка банковских карт и т. п.);</w:t>
      </w: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</w: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– на безопасность услуги (хищение денежных средств со счета потребителя, взыскание задолженности).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Многочисленные исследования показывают, что экономические кризисы и связанное с ними сокращение доходов традиционно являются временем активизации финансовых мошенников. В последние годы, особенно в аспекте перехода на дистанционные каналы обслуживания, оказалось очевидным, что скорость развития мошеннических систем в банковской сфере существенно превышает скорость построения защиты от таких противозаконных действий.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Финансовые организации зачастую не разъясняют клиентам как эффективно и безопасно пользоваться услугой. В результате доверчивые и пожилые клиенты становятся объектом интереса для мошенников.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 xml:space="preserve">Достаточно длительным и серьезным является и диалог различных участников рынка и государственных органов о последствиях лавинного роста интереса обычных граждан к инвестированию. Упрощение процесса приобретения финансовых инструментов (акции, облигации, доверительное управление и некоторые иные) за счет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цифровизации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продаж способствовали поиску потребителями потенциально более доходных инструментов инвестирования, альтернативных банковским вкладам. На развитие этого процесса во многом повлияли банки, которые заинтересованы в расширении продаж финансовых продуктов с целью наращивания комиссионных доходов. Наибольшей популярностью у физических лиц пользуются вложения в ценные бумаги через брокерские счета.</w:t>
      </w: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Однако «безналичное потребление» также создает новые и усугубляет традиционные риски для тех, кто находится в уязвимом положении и не готов к таким динамичным переменам.</w:t>
      </w: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Для обеспечения справедливого цифрового финансирования для всех нужен глобальный, совместный и скоординированный подход. Быстро развивающийся и сложный характер цифровых финансовых услуг демонстрирует потребность в инновационных подходах к регулированию, а также в цифровых финансовых услугах и продуктах, в основе которых лежит защита и расширение прав и возможностей потребителей.</w:t>
      </w: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Роспотребнадзор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неоднократно указывал, что требуется изменение </w:t>
      </w:r>
      <w:proofErr w:type="gram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механизмов защиты прав потребителей финансовых услуг</w:t>
      </w:r>
      <w:proofErr w:type="gram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по переводу денежных средств, в связи с низким уровнем безопасности таких операций, с целью защиты денежных средств потребителей от действий </w:t>
      </w:r>
      <w:proofErr w:type="spell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киберпреступников</w:t>
      </w:r>
      <w:proofErr w:type="spellEnd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 телефонных мошенников.</w:t>
      </w:r>
    </w:p>
    <w:p w:rsid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Одной из основных задач по развитию отрасли информационных технологий в России является развитие инфраструктуры электронной коммерции, которая определена в Стратегии развития отрасли информационных технологий в Российской Федерации на 2014–2020 годы и на перспективу до 2025 года, утвержденной распоряжением Правительства Российской Федерации от 1 ноября 2013 г. №2036-р. В документе отмечено, что развитие цифровой экономики не должно ущемлять интересов граждан.</w:t>
      </w:r>
    </w:p>
    <w:p w:rsidR="004D360A" w:rsidRPr="0052610E" w:rsidRDefault="0052610E" w:rsidP="0052610E">
      <w:pPr>
        <w:shd w:val="clear" w:color="auto" w:fill="FFFFFF"/>
        <w:spacing w:after="24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gramStart"/>
      <w:r w:rsidRPr="0052610E">
        <w:rPr>
          <w:rFonts w:ascii="Times New Roman" w:eastAsia="Times New Roman" w:hAnsi="Times New Roman" w:cs="Times New Roman"/>
          <w:color w:val="4F4F4F"/>
          <w:sz w:val="24"/>
          <w:szCs w:val="24"/>
        </w:rPr>
        <w:t>В связи с этим, защита потребителей в сфере электронной коммерции, осуществляемой хозяйствующими субъектами посредством информационно-телекоммуникационных сетей, обозначена среди ожидаемых результатов реализации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г. № 1837-р.</w:t>
      </w:r>
      <w:r w:rsidRPr="00526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4D360A" w:rsidRPr="0052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10E"/>
    <w:rsid w:val="004D360A"/>
    <w:rsid w:val="0052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1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4868</Characters>
  <Application>Microsoft Office Word</Application>
  <DocSecurity>0</DocSecurity>
  <Lines>40</Lines>
  <Paragraphs>11</Paragraphs>
  <ScaleCrop>false</ScaleCrop>
  <Company>ФФБУЗ Печора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2022-01-27T06:08:00Z</dcterms:created>
  <dcterms:modified xsi:type="dcterms:W3CDTF">2022-01-27T06:13:00Z</dcterms:modified>
</cp:coreProperties>
</file>