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3C" w:rsidRDefault="00FD3D30" w:rsidP="00D622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Права потребителей при покупке </w:t>
      </w:r>
      <w:r w:rsidR="00664D3C" w:rsidRPr="00D6220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товара в аптеке</w:t>
      </w:r>
    </w:p>
    <w:p w:rsidR="00C83BF3" w:rsidRDefault="00C83BF3" w:rsidP="00D622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</w:p>
    <w:p w:rsidR="00C83BF3" w:rsidRPr="00D62205" w:rsidRDefault="00C83BF3" w:rsidP="00D622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В аптеках нередко можно увидеть объявления «Купленные лекарства обмену и возврату не подлежат», «Товар, купленный в аптеке, обмену и возврату не подлежит». В большей части случаев у аптечных учреждений действительно есть юридические основания для отказа от возврата или обмена, но только качественного товара.</w:t>
      </w:r>
    </w:p>
    <w:p w:rsidR="00330B09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Согласно </w:t>
      </w:r>
      <w:r w:rsidR="00877786">
        <w:rPr>
          <w:rFonts w:ascii="Times New Roman" w:eastAsia="Times New Roman" w:hAnsi="Times New Roman" w:cs="Times New Roman"/>
          <w:color w:val="232323"/>
          <w:sz w:val="24"/>
          <w:szCs w:val="24"/>
        </w:rPr>
        <w:t>Постановлению</w:t>
      </w:r>
      <w:r w:rsidR="00877786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Пра</w:t>
      </w:r>
      <w:r w:rsidR="00877786">
        <w:rPr>
          <w:rFonts w:ascii="Times New Roman" w:eastAsia="Times New Roman" w:hAnsi="Times New Roman" w:cs="Times New Roman"/>
          <w:color w:val="232323"/>
          <w:sz w:val="24"/>
          <w:szCs w:val="24"/>
        </w:rPr>
        <w:t>вительства РФ от 31.12.2020 г. № 2463</w:t>
      </w:r>
      <w:r w:rsidR="00877786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, утвердившим «Перечень непродовольственных товаров надлежащего качества, не подлежащих возврату или обмену на аналогичный товар других размера формы, габарита, фасона, расцветки или комплектации»</w:t>
      </w:r>
      <w:r w:rsidR="00330B09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 w:rsidR="00877786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приобретенные гражданами лекарственные препараты надлежащего качества не подлежат возврату или обмену.</w:t>
      </w:r>
    </w:p>
    <w:p w:rsidR="00664D3C" w:rsidRPr="00D62205" w:rsidRDefault="00330B09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По смыслу указанного документа</w:t>
      </w:r>
      <w:r w:rsidR="00664D3C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 возврату и обмену не подлежат товары надлежащего качества, которые относятся к продовольственным товарам, лекарственным препаратам, к товарам для профилактики и лечения заболеваний в домашних условиях; </w:t>
      </w:r>
      <w:proofErr w:type="gramStart"/>
      <w:r w:rsidR="00664D3C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которые являются предметами санитарии и гигиены, медицинскими инструментами, приборами, аппаратурой, средствами гигиены полости рта, предметами по уходу за детьми, предметами личной гигиены (зубные щетки, расчески, заколки, бигуди для волос, парики, шиньоны и другие аналогичные товары), парфюмерно-косметическими товарами.</w:t>
      </w:r>
      <w:proofErr w:type="gramEnd"/>
      <w:r w:rsidR="00664D3C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Не подлежат возврату и обмену изделия и материалы, контактирующие с пищевыми продуктами, из полимерных материалов, изделия швейные и трикотажные бельевые, изделия чулочно-носочные, линзы очковые, продаваемые некоторыми аптеками.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Товар, не включенный в Перечень, подлежит обмену по основаниям (не подошел по форме, габаритам, фасону, расцветке, размеру или комплектации), указанным в ст.25 Закона РФ от 07.02.1992 № 2300-1 «О защите пр</w:t>
      </w:r>
      <w:r w:rsidR="00330B09">
        <w:rPr>
          <w:rFonts w:ascii="Times New Roman" w:eastAsia="Times New Roman" w:hAnsi="Times New Roman" w:cs="Times New Roman"/>
          <w:color w:val="232323"/>
          <w:sz w:val="24"/>
          <w:szCs w:val="24"/>
        </w:rPr>
        <w:t>ав потребителей»</w:t>
      </w: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, при условии, что не был в употреблении, сохранены его товарный вид, потребительские свойства, пломбы, фабричные ярлыки. Желательно иметь товарный чек или кассовый чек либо иной подтверждающий оплату указанного товара документ. Однако отсутствие у потребителя документа, подтверждающего оплату товара, не лишает его возможности ссылаться на свидетельские показания. 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А как быть, если товар ненадлежащего качества? Безусловно, продавец (фармацевт) обязан принять товар ненадлежащего качества.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Прямого определения понятия «ненадлежащее качество» в Законе нет, но приводятся формулировки понятий «недостаток» и «существенный недостаток».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</w:t>
      </w:r>
      <w:proofErr w:type="gramStart"/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Недостаток товара (работы, услуги) — несоответствие товара (работы, услуги) или обязательным требованиям, предусмотренным законом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</w:t>
      </w:r>
      <w:proofErr w:type="gramEnd"/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продаже товара по образцу и (или) по описанию.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Существенный недостаток товара (работы, услуги) — неустранимый недостаток или недостаток, который не может быть устранен без несоразмерных расходов или затрат </w:t>
      </w: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времени, или выявляется неоднократно, или проявляется вновь после его устранения, или другие подобные недостатки.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Таким образом, товар ненадлежащего качества — это товар, имеющий «недостаток» или «существенный недостаток».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В соответствии со ст. 18 </w:t>
      </w:r>
      <w:r w:rsidR="00330B0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указанного </w:t>
      </w: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Закона потребитель в случае обнаружения в товаре недостатков, если они не были оговорены продавцом, по своему выбору вправе:</w:t>
      </w:r>
    </w:p>
    <w:p w:rsidR="00664D3C" w:rsidRPr="00D62205" w:rsidRDefault="00664D3C" w:rsidP="00D6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потребовать замены на товар этой же марки (этих же модели и (или) артикула);</w:t>
      </w:r>
    </w:p>
    <w:p w:rsidR="00664D3C" w:rsidRPr="00D62205" w:rsidRDefault="00664D3C" w:rsidP="00D6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потребовать замены на такой же товар другой марки (модели, артикула) с соответствующим перерасчетом покупной цены;</w:t>
      </w:r>
    </w:p>
    <w:p w:rsidR="00664D3C" w:rsidRPr="00D62205" w:rsidRDefault="00664D3C" w:rsidP="00D6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потребовать соразмерного уменьшения покупной цены;</w:t>
      </w:r>
    </w:p>
    <w:p w:rsidR="00664D3C" w:rsidRPr="00D62205" w:rsidRDefault="00664D3C" w:rsidP="00D6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64D3C" w:rsidRPr="00D62205" w:rsidRDefault="00664D3C" w:rsidP="00D6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Учитывая </w:t>
      </w:r>
      <w:proofErr w:type="gramStart"/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изложенное</w:t>
      </w:r>
      <w:proofErr w:type="gramEnd"/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, возврат (замена) товаров, в том числе реализуемых через аптеки, может быть осуществлен в следующих случаях:</w:t>
      </w:r>
    </w:p>
    <w:p w:rsidR="00664D3C" w:rsidRPr="00D62205" w:rsidRDefault="00664D3C" w:rsidP="00D62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если потребителю был продан товар ненадлежащего качества, (основание ст. 503 ГК РФ, ст. 18 Закона № 2300-1);</w:t>
      </w:r>
    </w:p>
    <w:p w:rsidR="00664D3C" w:rsidRDefault="00664D3C" w:rsidP="00D62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если потребителю не была предоставлена продавцом возможность незамедлительно получить при заключении договора информацию о товаре, изготовителе (основание п. 3 ст. 495 Гражданского кодекса РФ, ст. 12 Закона);</w:t>
      </w:r>
    </w:p>
    <w:p w:rsidR="000C2FBD" w:rsidRDefault="000C2FBD" w:rsidP="000C2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при ошибке со стороны фармацевта в наименовании товара или в дозировке лекарственного средства, или в его форме (основание п. 2 ст. 469 ГК РФ, п. 3 ст.4 Закона).</w:t>
      </w:r>
    </w:p>
    <w:p w:rsidR="00664D3C" w:rsidRPr="000C2FBD" w:rsidRDefault="00664D3C" w:rsidP="000C2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>если был нарушен порядок отпуска лекарственных препаратов, предусмотренный нормативно-законодательными актами, а именно: рецептурный препарат продан без рецепта (основание</w:t>
      </w:r>
      <w:r w:rsidR="000C2FBD" w:rsidRP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«Порядок</w:t>
      </w:r>
      <w:r w:rsidRP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отпуска лекар</w:t>
      </w:r>
      <w:r w:rsidR="000C2FBD" w:rsidRP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>ственных средств», утвержденный</w:t>
      </w:r>
      <w:r w:rsidRP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Приказом </w:t>
      </w:r>
      <w:proofErr w:type="spellStart"/>
      <w:r w:rsidR="000C2FBD" w:rsidRP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>Минздравсоцразвития</w:t>
      </w:r>
      <w:proofErr w:type="spellEnd"/>
      <w:r w:rsidR="000C2FBD" w:rsidRP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России от 11.07.2017 № 403н</w:t>
      </w:r>
      <w:r w:rsidR="00C83BF3">
        <w:rPr>
          <w:rFonts w:ascii="Times New Roman" w:eastAsia="Times New Roman" w:hAnsi="Times New Roman" w:cs="Times New Roman"/>
          <w:color w:val="232323"/>
          <w:sz w:val="24"/>
          <w:szCs w:val="24"/>
        </w:rPr>
        <w:t>»</w:t>
      </w:r>
      <w:r w:rsid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proofErr w:type="gramEnd"/>
      <w:r w:rsidR="000C2FB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Также п.17 данного Приказа предусматривает «при отпуске лекарственных препаратов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цену.</w:t>
      </w:r>
    </w:p>
    <w:p w:rsidR="00C83BF3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        Что </w:t>
      </w:r>
      <w:r w:rsidR="00305C56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же </w:t>
      </w: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можно считать недостатком лекарственных препаратов, медицинских изделий? </w:t>
      </w:r>
    </w:p>
    <w:p w:rsidR="00664D3C" w:rsidRDefault="00C83BF3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        </w:t>
      </w:r>
      <w:r w:rsidR="00664D3C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Недостатком можно считать: истекший срок годности, отсутствие обязательной информации, несовпадение серии и сроки годности на упаковке и препарате, отсутствие инструкции по применению препарата; несоответствие описание препарата в инструкции фактическому цвету, запаху, форме, размеру, консистенции и иным показателям препарата; наличие в упаковке брака - сколы, </w:t>
      </w:r>
      <w:proofErr w:type="spellStart"/>
      <w:r w:rsidR="00664D3C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негерметичность</w:t>
      </w:r>
      <w:proofErr w:type="spellEnd"/>
      <w:r w:rsidR="00664D3C"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, смазанная полиграфия.</w:t>
      </w:r>
    </w:p>
    <w:p w:rsidR="00C83BF3" w:rsidRPr="00D62205" w:rsidRDefault="00C83BF3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          Будьте внимательны при покупке лекарственных препаратов, проверяйте правильность расчета, наименование товара, целостность упаковки, срок годности </w:t>
      </w:r>
      <w:r w:rsidR="00C83BF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</w:t>
      </w: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не отходя от кассы, требуйте проверки приборов в Вашем присутствии (если это технически возможно), не требуйте продажи рецептурных препаратов без наличия у Вас необходимых документов, чтобы не создавать проблем ни себе, ни работникам аптеки.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         При оформлении претензии к продавцу обратите внимание на смысловую разницу слов замена и обмен. Слово замена используется при требовании в отношении некачественного товара, слово обмен при требовании в отношении качественного товара.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664D3C" w:rsidRPr="00D62205" w:rsidRDefault="00664D3C" w:rsidP="00D62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62205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drawing>
          <wp:inline distT="0" distB="0" distL="0" distR="0">
            <wp:extent cx="5661660" cy="4122420"/>
            <wp:effectExtent l="19050" t="0" r="0" b="0"/>
            <wp:docPr id="1" name="Рисунок 1" descr="depositphotos_178706598-stock-photo-pharmacy-theme-multicolored-isolated-p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178706598-stock-photo-pharmacy-theme-multicolored-isolated-pil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3" w:rsidRPr="00D62205" w:rsidRDefault="001D1A63" w:rsidP="00D62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A63" w:rsidRPr="00D62205" w:rsidSect="00F2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3B5"/>
    <w:multiLevelType w:val="multilevel"/>
    <w:tmpl w:val="543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14C2E"/>
    <w:multiLevelType w:val="multilevel"/>
    <w:tmpl w:val="F71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D3C"/>
    <w:rsid w:val="000C2FBD"/>
    <w:rsid w:val="001D1A63"/>
    <w:rsid w:val="00305C56"/>
    <w:rsid w:val="003233FC"/>
    <w:rsid w:val="00330B09"/>
    <w:rsid w:val="00566E7A"/>
    <w:rsid w:val="00664D3C"/>
    <w:rsid w:val="00877786"/>
    <w:rsid w:val="00C83BF3"/>
    <w:rsid w:val="00D62205"/>
    <w:rsid w:val="00F24688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8"/>
  </w:style>
  <w:style w:type="paragraph" w:styleId="1">
    <w:name w:val="heading 1"/>
    <w:basedOn w:val="a"/>
    <w:link w:val="10"/>
    <w:uiPriority w:val="9"/>
    <w:qFormat/>
    <w:rsid w:val="00664D3C"/>
    <w:pPr>
      <w:spacing w:after="0" w:line="240" w:lineRule="auto"/>
      <w:outlineLvl w:val="0"/>
    </w:pPr>
    <w:rPr>
      <w:rFonts w:ascii="Arial" w:eastAsia="Times New Roman" w:hAnsi="Arial" w:cs="Arial"/>
      <w:color w:val="232323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3C"/>
    <w:rPr>
      <w:rFonts w:ascii="Arial" w:eastAsia="Times New Roman" w:hAnsi="Arial" w:cs="Arial"/>
      <w:color w:val="232323"/>
      <w:kern w:val="36"/>
      <w:sz w:val="34"/>
      <w:szCs w:val="34"/>
    </w:rPr>
  </w:style>
  <w:style w:type="paragraph" w:styleId="a3">
    <w:name w:val="Normal (Web)"/>
    <w:basedOn w:val="a"/>
    <w:uiPriority w:val="99"/>
    <w:semiHidden/>
    <w:unhideWhenUsed/>
    <w:rsid w:val="0066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ФФБУЗ Печора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7</cp:revision>
  <dcterms:created xsi:type="dcterms:W3CDTF">2021-04-01T06:58:00Z</dcterms:created>
  <dcterms:modified xsi:type="dcterms:W3CDTF">2022-04-27T08:44:00Z</dcterms:modified>
</cp:coreProperties>
</file>