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6DF" w:rsidRDefault="009226DF" w:rsidP="009226DF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5349240</wp:posOffset>
            </wp:positionH>
            <wp:positionV relativeFrom="paragraph">
              <wp:posOffset>60325</wp:posOffset>
            </wp:positionV>
            <wp:extent cx="498475" cy="498475"/>
            <wp:effectExtent l="0" t="0" r="0" b="0"/>
            <wp:wrapSquare wrapText="bothSides"/>
            <wp:docPr id="3" name="Рисунок 3" descr="\\Лес6-пк\общая\Коновалова ЕВ\Васильев В.Г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Лес6-пк\общая\Коновалова ЕВ\Васильев В.Г\qr-cod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771525" cy="755015"/>
            <wp:effectExtent l="0" t="0" r="9525" b="6985"/>
            <wp:wrapSquare wrapText="bothSides"/>
            <wp:docPr id="2" name="Рисунок 2" descr="\\Лес6-пк\общая\_ДЛЯ ВСЕХ!\_ШАБЛОНЫ\ЛОГО ЗЕМЛЯ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\\Лес6-пк\общая\_ДЛЯ ВСЕХ!\_ШАБЛОНЫ\ЛОГО ЗЕМЛЯ\логотип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6054">
        <w:rPr>
          <w:rFonts w:ascii="Times New Roman" w:hAnsi="Times New Roman"/>
          <w:b/>
        </w:rPr>
        <w:t>Общество с ограниченной ответственностью «ЗЕМЛЯ»</w:t>
      </w:r>
    </w:p>
    <w:p w:rsidR="009226DF" w:rsidRPr="00DB03B6" w:rsidRDefault="009226DF" w:rsidP="009226DF">
      <w:pPr>
        <w:spacing w:after="0" w:line="240" w:lineRule="auto"/>
        <w:rPr>
          <w:rFonts w:ascii="Times New Roman" w:hAnsi="Times New Roman"/>
        </w:rPr>
      </w:pPr>
      <w:r w:rsidRPr="00DB03B6">
        <w:rPr>
          <w:rFonts w:ascii="Times New Roman" w:hAnsi="Times New Roman"/>
        </w:rPr>
        <w:t>428032, Чувашская Республика, г.Чебоксары, ул.Ярославская, д.25,</w:t>
      </w:r>
    </w:p>
    <w:p w:rsidR="009226DF" w:rsidRPr="00DB03B6" w:rsidRDefault="009226DF" w:rsidP="009226DF">
      <w:pPr>
        <w:spacing w:after="0" w:line="240" w:lineRule="auto"/>
        <w:rPr>
          <w:rFonts w:ascii="Times New Roman" w:hAnsi="Times New Roman"/>
        </w:rPr>
      </w:pPr>
      <w:r w:rsidRPr="00DB03B6">
        <w:rPr>
          <w:rFonts w:ascii="Times New Roman" w:hAnsi="Times New Roman"/>
        </w:rPr>
        <w:t xml:space="preserve">     ИНН 2129056123, ОГРН 1042129024530 тел./факс: (8352)62-66-16,</w:t>
      </w:r>
    </w:p>
    <w:p w:rsidR="009226DF" w:rsidRPr="00DB03B6" w:rsidRDefault="009226DF" w:rsidP="009226DF">
      <w:pPr>
        <w:spacing w:after="0" w:line="240" w:lineRule="auto"/>
        <w:rPr>
          <w:rFonts w:ascii="Times New Roman" w:hAnsi="Times New Roman"/>
        </w:rPr>
      </w:pPr>
      <w:r w:rsidRPr="00DB03B6">
        <w:rPr>
          <w:rFonts w:ascii="Times New Roman" w:hAnsi="Times New Roman"/>
        </w:rPr>
        <w:t xml:space="preserve">     E-mail: ooozemly@rambler.ru (кадастровые работы),</w:t>
      </w:r>
    </w:p>
    <w:p w:rsidR="009226DF" w:rsidRPr="00207502" w:rsidRDefault="009226DF" w:rsidP="009226D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B03B6">
        <w:rPr>
          <w:rFonts w:ascii="Times New Roman" w:hAnsi="Times New Roman"/>
        </w:rPr>
        <w:t xml:space="preserve">     626519@mail.ru (лесоустройство) </w:t>
      </w:r>
      <w:r>
        <w:rPr>
          <w:rFonts w:ascii="Times New Roman" w:hAnsi="Times New Roman"/>
        </w:rPr>
        <w:t xml:space="preserve">                                                     </w:t>
      </w:r>
      <w:r w:rsidRPr="006D2C7E">
        <w:rPr>
          <w:rFonts w:eastAsia="Andale Sans UI"/>
          <w:color w:val="000000"/>
          <w:kern w:val="1"/>
          <w:sz w:val="20"/>
          <w:lang w:val="en-US"/>
        </w:rPr>
        <w:t>www</w:t>
      </w:r>
      <w:r w:rsidRPr="006D2C7E">
        <w:rPr>
          <w:rFonts w:eastAsia="Andale Sans UI"/>
          <w:color w:val="000000"/>
          <w:kern w:val="1"/>
          <w:sz w:val="20"/>
        </w:rPr>
        <w:t>.</w:t>
      </w:r>
      <w:r w:rsidRPr="006D2C7E">
        <w:rPr>
          <w:rFonts w:eastAsia="Andale Sans UI"/>
          <w:color w:val="000000"/>
          <w:kern w:val="1"/>
          <w:sz w:val="20"/>
          <w:lang w:val="en-US"/>
        </w:rPr>
        <w:t>zemlya</w:t>
      </w:r>
      <w:r w:rsidRPr="006D2C7E">
        <w:rPr>
          <w:rFonts w:eastAsia="Andale Sans UI"/>
          <w:color w:val="000000"/>
          <w:kern w:val="1"/>
          <w:sz w:val="20"/>
        </w:rPr>
        <w:t>21.</w:t>
      </w:r>
      <w:r w:rsidRPr="006D2C7E">
        <w:rPr>
          <w:rFonts w:eastAsia="Andale Sans UI"/>
          <w:color w:val="000000"/>
          <w:kern w:val="1"/>
          <w:sz w:val="20"/>
          <w:lang w:val="en-US"/>
        </w:rPr>
        <w:t>r</w:t>
      </w:r>
      <w:r>
        <w:rPr>
          <w:rFonts w:eastAsia="Andale Sans UI"/>
          <w:color w:val="000000"/>
          <w:kern w:val="1"/>
          <w:sz w:val="20"/>
          <w:lang w:val="en-US"/>
        </w:rPr>
        <w:t>u</w:t>
      </w:r>
      <w:r w:rsidRPr="00DB03B6">
        <w:rPr>
          <w:rFonts w:ascii="Times New Roman" w:hAnsi="Times New Roman"/>
        </w:rPr>
        <w:t xml:space="preserve">                                                                  </w:t>
      </w:r>
      <w:r w:rsidRPr="00977E57">
        <w:rPr>
          <w:rFonts w:eastAsia="Calibri"/>
          <w:lang w:eastAsia="en-US"/>
        </w:rPr>
        <w:t xml:space="preserve">                                </w:t>
      </w:r>
    </w:p>
    <w:p w:rsidR="009226DF" w:rsidRPr="00207502" w:rsidRDefault="009226DF" w:rsidP="009226D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240909" w:rsidRPr="009226DF" w:rsidRDefault="00240909" w:rsidP="00240909">
      <w:pPr>
        <w:spacing w:after="0" w:line="240" w:lineRule="auto"/>
        <w:ind w:firstLine="1440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9226DF" w:rsidP="00240909">
      <w:pPr>
        <w:spacing w:after="0" w:line="240" w:lineRule="auto"/>
        <w:contextualSpacing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ОТЧЁ</w:t>
      </w:r>
      <w:r w:rsidR="00240909" w:rsidRPr="009226DF">
        <w:rPr>
          <w:rFonts w:ascii="Times New Roman" w:hAnsi="Times New Roman"/>
          <w:b/>
          <w:sz w:val="44"/>
          <w:szCs w:val="44"/>
        </w:rPr>
        <w:t>Т</w:t>
      </w:r>
    </w:p>
    <w:p w:rsidR="00240909" w:rsidRPr="009226DF" w:rsidRDefault="00240909" w:rsidP="00240909">
      <w:pPr>
        <w:pStyle w:val="a3"/>
        <w:widowControl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909" w:rsidRPr="009226DF" w:rsidRDefault="0068281F" w:rsidP="0068281F">
      <w:pPr>
        <w:pStyle w:val="a3"/>
        <w:widowControl w:val="0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9226DF">
        <w:rPr>
          <w:rFonts w:ascii="Times New Roman" w:hAnsi="Times New Roman" w:cs="Times New Roman"/>
          <w:sz w:val="36"/>
          <w:szCs w:val="36"/>
        </w:rPr>
        <w:t xml:space="preserve">об оказании услуг по внесению изменений в лесохозяйственный регламент и лесоустроительную документацию Печорского городского лесничества </w:t>
      </w:r>
      <w:r w:rsidR="00240909" w:rsidRPr="009226DF">
        <w:rPr>
          <w:rFonts w:ascii="Times New Roman" w:hAnsi="Times New Roman" w:cs="Times New Roman"/>
          <w:sz w:val="36"/>
          <w:szCs w:val="36"/>
        </w:rPr>
        <w:t xml:space="preserve">по муниципальному контракту </w:t>
      </w:r>
      <w:r w:rsidRPr="009226DF">
        <w:rPr>
          <w:rFonts w:ascii="Times New Roman" w:hAnsi="Times New Roman" w:cs="Times New Roman"/>
          <w:sz w:val="36"/>
          <w:szCs w:val="36"/>
        </w:rPr>
        <w:t>от 02.05.2024 г. № 119/СМП/ЗК-2024</w:t>
      </w: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Заместитель директора</w:t>
      </w:r>
      <w:r w:rsidRPr="009226DF">
        <w:rPr>
          <w:rFonts w:ascii="Times New Roman" w:hAnsi="Times New Roman"/>
          <w:sz w:val="24"/>
          <w:szCs w:val="24"/>
        </w:rPr>
        <w:tab/>
      </w:r>
      <w:r w:rsidRPr="009226DF">
        <w:rPr>
          <w:rFonts w:ascii="Times New Roman" w:hAnsi="Times New Roman"/>
          <w:sz w:val="24"/>
          <w:szCs w:val="24"/>
        </w:rPr>
        <w:tab/>
      </w:r>
      <w:r w:rsidRPr="009226DF">
        <w:rPr>
          <w:rFonts w:ascii="Times New Roman" w:hAnsi="Times New Roman"/>
          <w:sz w:val="24"/>
          <w:szCs w:val="24"/>
        </w:rPr>
        <w:tab/>
      </w:r>
      <w:r w:rsidRPr="009226DF">
        <w:rPr>
          <w:rFonts w:ascii="Times New Roman" w:hAnsi="Times New Roman"/>
          <w:sz w:val="24"/>
          <w:szCs w:val="24"/>
        </w:rPr>
        <w:tab/>
      </w:r>
      <w:r w:rsidRPr="009226DF">
        <w:rPr>
          <w:rFonts w:ascii="Times New Roman" w:hAnsi="Times New Roman"/>
          <w:sz w:val="24"/>
          <w:szCs w:val="24"/>
        </w:rPr>
        <w:tab/>
      </w:r>
      <w:r w:rsidRPr="009226DF">
        <w:rPr>
          <w:rFonts w:ascii="Times New Roman" w:hAnsi="Times New Roman"/>
          <w:sz w:val="24"/>
          <w:szCs w:val="24"/>
        </w:rPr>
        <w:tab/>
      </w:r>
      <w:r w:rsidRPr="009226DF">
        <w:rPr>
          <w:rFonts w:ascii="Times New Roman" w:hAnsi="Times New Roman"/>
          <w:sz w:val="24"/>
          <w:szCs w:val="24"/>
        </w:rPr>
        <w:tab/>
      </w:r>
      <w:r w:rsidRPr="009226DF">
        <w:rPr>
          <w:rFonts w:ascii="Times New Roman" w:hAnsi="Times New Roman"/>
          <w:sz w:val="24"/>
          <w:szCs w:val="24"/>
        </w:rPr>
        <w:tab/>
        <w:t>Н.Н. Комаров</w:t>
      </w: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8281F" w:rsidRPr="009226DF" w:rsidRDefault="0068281F" w:rsidP="0024090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40909" w:rsidRPr="009226DF" w:rsidRDefault="00240909" w:rsidP="0024090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8281F" w:rsidRPr="009226DF" w:rsidRDefault="0068281F" w:rsidP="0068281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г. Печора, 2024 г</w:t>
      </w:r>
      <w:r w:rsidRPr="009226DF">
        <w:rPr>
          <w:rFonts w:ascii="Times New Roman" w:hAnsi="Times New Roman"/>
          <w:b/>
          <w:sz w:val="24"/>
          <w:szCs w:val="24"/>
        </w:rPr>
        <w:t>.</w:t>
      </w:r>
    </w:p>
    <w:p w:rsidR="00240909" w:rsidRPr="009226DF" w:rsidRDefault="00240909" w:rsidP="00E35A27">
      <w:pPr>
        <w:pStyle w:val="1"/>
        <w:rPr>
          <w:rFonts w:cs="Times New Roman"/>
          <w:sz w:val="24"/>
          <w:szCs w:val="24"/>
        </w:rPr>
      </w:pPr>
      <w:r w:rsidRPr="009226DF">
        <w:rPr>
          <w:rFonts w:cs="Times New Roman"/>
          <w:sz w:val="24"/>
          <w:szCs w:val="24"/>
        </w:rPr>
        <w:t>ВВЕДЕНИЕ</w:t>
      </w:r>
    </w:p>
    <w:p w:rsidR="00240909" w:rsidRPr="009226DF" w:rsidRDefault="00240909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281F" w:rsidRPr="009226DF" w:rsidRDefault="0068281F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lastRenderedPageBreak/>
        <w:t>В соответствии с муниципальным контрактом от 02.05.2024 г. № 119/СМП/ЗК-2024 на оказание услуг по внесению изменений в лесохозяйственный регламент и лесоустроительную документацию Печорского городского лесничества ООО «ЗЕМЛЯ» выполнило работы согласно техническому заданию</w:t>
      </w:r>
      <w:r w:rsidR="006E2B41" w:rsidRPr="009226DF">
        <w:rPr>
          <w:rFonts w:ascii="Times New Roman" w:hAnsi="Times New Roman"/>
          <w:sz w:val="24"/>
          <w:szCs w:val="24"/>
        </w:rPr>
        <w:t xml:space="preserve"> без проведения натурной т</w:t>
      </w:r>
      <w:r w:rsidR="00A46DFF">
        <w:rPr>
          <w:rFonts w:ascii="Times New Roman" w:hAnsi="Times New Roman"/>
          <w:sz w:val="24"/>
          <w:szCs w:val="24"/>
        </w:rPr>
        <w:t>аксации с учетом изменения границ лесничества.</w:t>
      </w:r>
      <w:bookmarkStart w:id="0" w:name="_GoBack"/>
      <w:bookmarkEnd w:id="0"/>
    </w:p>
    <w:p w:rsidR="00240909" w:rsidRPr="009226DF" w:rsidRDefault="00240909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 xml:space="preserve">Настоящий отчет составлен по результатам выполненных работ. </w:t>
      </w:r>
    </w:p>
    <w:p w:rsidR="00D12627" w:rsidRPr="009226DF" w:rsidRDefault="00D12627">
      <w:pPr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br w:type="page"/>
      </w:r>
    </w:p>
    <w:p w:rsidR="00240909" w:rsidRPr="009226DF" w:rsidRDefault="00D12627" w:rsidP="00407275">
      <w:pPr>
        <w:pStyle w:val="1"/>
        <w:rPr>
          <w:rFonts w:cs="Times New Roman"/>
          <w:sz w:val="24"/>
          <w:szCs w:val="24"/>
        </w:rPr>
      </w:pPr>
      <w:r w:rsidRPr="009226DF">
        <w:rPr>
          <w:rFonts w:cs="Times New Roman"/>
          <w:sz w:val="24"/>
          <w:szCs w:val="24"/>
        </w:rPr>
        <w:lastRenderedPageBreak/>
        <w:t>1. СВЕДЕНИЯ ОБ ОБЪЕМАХ И ВИДАХ ВЫПОЛНЕННЫХ РАБОТ</w:t>
      </w:r>
    </w:p>
    <w:p w:rsidR="00D12627" w:rsidRPr="009226DF" w:rsidRDefault="00D12627" w:rsidP="00D12627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12627" w:rsidRPr="009226DF" w:rsidRDefault="00D12627" w:rsidP="00407275">
      <w:pPr>
        <w:pStyle w:val="1"/>
        <w:rPr>
          <w:rFonts w:cs="Times New Roman"/>
          <w:sz w:val="24"/>
          <w:szCs w:val="24"/>
        </w:rPr>
      </w:pPr>
      <w:r w:rsidRPr="009226DF">
        <w:rPr>
          <w:rFonts w:cs="Times New Roman"/>
          <w:sz w:val="24"/>
          <w:szCs w:val="24"/>
        </w:rPr>
        <w:t xml:space="preserve">1.1. </w:t>
      </w:r>
      <w:r w:rsidR="0068281F" w:rsidRPr="009226DF">
        <w:rPr>
          <w:rFonts w:cs="Times New Roman"/>
          <w:sz w:val="24"/>
          <w:szCs w:val="24"/>
        </w:rPr>
        <w:t>Внесение изменений</w:t>
      </w:r>
      <w:r w:rsidRPr="009226DF">
        <w:rPr>
          <w:rFonts w:cs="Times New Roman"/>
          <w:sz w:val="24"/>
          <w:szCs w:val="24"/>
        </w:rPr>
        <w:t xml:space="preserve"> </w:t>
      </w:r>
      <w:r w:rsidR="0068281F" w:rsidRPr="009226DF">
        <w:rPr>
          <w:rFonts w:cs="Times New Roman"/>
          <w:sz w:val="24"/>
          <w:szCs w:val="24"/>
        </w:rPr>
        <w:t>в лесохозяйственный регламент</w:t>
      </w:r>
    </w:p>
    <w:p w:rsidR="00240909" w:rsidRPr="009226DF" w:rsidRDefault="00240909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07324" w:rsidRPr="009226DF" w:rsidRDefault="00D12627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 xml:space="preserve">Настоящий лесохозяйственный регламент – является основой для осуществления использования, охраны, защиты и воспроизводства лесов, расположенных в границах </w:t>
      </w:r>
      <w:r w:rsidR="0068281F" w:rsidRPr="009226DF">
        <w:rPr>
          <w:rFonts w:ascii="Times New Roman" w:hAnsi="Times New Roman"/>
          <w:sz w:val="24"/>
          <w:szCs w:val="24"/>
        </w:rPr>
        <w:t>Печорского городского лесничества.</w:t>
      </w:r>
      <w:r w:rsidRPr="009226DF">
        <w:rPr>
          <w:rFonts w:ascii="Times New Roman" w:hAnsi="Times New Roman"/>
          <w:sz w:val="24"/>
          <w:szCs w:val="24"/>
        </w:rPr>
        <w:t xml:space="preserve"> </w:t>
      </w:r>
    </w:p>
    <w:p w:rsidR="00D12627" w:rsidRPr="009226DF" w:rsidRDefault="00D12627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Лесохозяйственный регламент содержит свод нормативов и параметров комплексного освоения лесов применительно к территории, лесорастительным условиям лесничества, определяет правовой режим лесных участков, при этом леснич</w:t>
      </w:r>
      <w:r w:rsidR="006E2B41" w:rsidRPr="009226DF">
        <w:rPr>
          <w:rFonts w:ascii="Times New Roman" w:hAnsi="Times New Roman"/>
          <w:sz w:val="24"/>
          <w:szCs w:val="24"/>
        </w:rPr>
        <w:t>ество</w:t>
      </w:r>
      <w:r w:rsidRPr="009226DF">
        <w:rPr>
          <w:rFonts w:ascii="Times New Roman" w:hAnsi="Times New Roman"/>
          <w:sz w:val="24"/>
          <w:szCs w:val="24"/>
        </w:rPr>
        <w:t xml:space="preserve"> самостоятельно планирует, проектир</w:t>
      </w:r>
      <w:r w:rsidR="006E2B41" w:rsidRPr="009226DF">
        <w:rPr>
          <w:rFonts w:ascii="Times New Roman" w:hAnsi="Times New Roman"/>
          <w:sz w:val="24"/>
          <w:szCs w:val="24"/>
        </w:rPr>
        <w:t xml:space="preserve">ует и обеспечивает деятельность, </w:t>
      </w:r>
      <w:r w:rsidRPr="009226DF">
        <w:rPr>
          <w:rFonts w:ascii="Times New Roman" w:hAnsi="Times New Roman"/>
          <w:sz w:val="24"/>
          <w:szCs w:val="24"/>
        </w:rPr>
        <w:t xml:space="preserve">руководствуясь нормами и ограничениями лесохозяйственного регламента. </w:t>
      </w:r>
    </w:p>
    <w:p w:rsidR="00D12627" w:rsidRPr="009226DF" w:rsidRDefault="00D12627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Лесной код</w:t>
      </w:r>
      <w:r w:rsidR="0013425C" w:rsidRPr="009226DF">
        <w:rPr>
          <w:rFonts w:ascii="Times New Roman" w:hAnsi="Times New Roman"/>
          <w:sz w:val="24"/>
          <w:szCs w:val="24"/>
        </w:rPr>
        <w:t>екс РФ устанавливает обязательность</w:t>
      </w:r>
      <w:r w:rsidRPr="009226DF">
        <w:rPr>
          <w:rFonts w:ascii="Times New Roman" w:hAnsi="Times New Roman"/>
          <w:sz w:val="24"/>
          <w:szCs w:val="24"/>
        </w:rPr>
        <w:t xml:space="preserve"> исполнения включенных в лесохозяйственный регламент требований всеми гражданами и юридическими лицами, осуществляющими использование, охрану, защиту воспроизводство лесов в границах лесничества (ст. 87, п. 6 ЛК РФ)</w:t>
      </w:r>
    </w:p>
    <w:p w:rsidR="00D12627" w:rsidRPr="009226DF" w:rsidRDefault="00C77A59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Невыполнение лесохозяйственного регламента является основанием для расторжения договоров аренды лесных участков, договоров купли-продажи лесных насаждений, принудительно</w:t>
      </w:r>
      <w:r w:rsidR="0013425C" w:rsidRPr="009226DF">
        <w:rPr>
          <w:rFonts w:ascii="Times New Roman" w:hAnsi="Times New Roman"/>
          <w:sz w:val="24"/>
          <w:szCs w:val="24"/>
        </w:rPr>
        <w:t>го</w:t>
      </w:r>
      <w:r w:rsidRPr="009226DF">
        <w:rPr>
          <w:rFonts w:ascii="Times New Roman" w:hAnsi="Times New Roman"/>
          <w:sz w:val="24"/>
          <w:szCs w:val="24"/>
        </w:rPr>
        <w:t xml:space="preserve"> прекращения права постоянного (бессрочного) пользования или безвозмездного срочного пользования лесными участками (ст. 24, 51, 60, 61 ЛК РФ).</w:t>
      </w:r>
    </w:p>
    <w:p w:rsidR="00C77A59" w:rsidRPr="009226DF" w:rsidRDefault="00C77A59" w:rsidP="00C77A5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ОСТ 56-84-85 дает следующее определение термину «городской лес»:</w:t>
      </w:r>
    </w:p>
    <w:p w:rsidR="00C77A59" w:rsidRPr="009226DF" w:rsidRDefault="00C77A59" w:rsidP="00C77A5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 xml:space="preserve">Городской лес – лес, находящийся в пределах городской или поселковой </w:t>
      </w:r>
      <w:r w:rsidR="00A46DFF">
        <w:rPr>
          <w:rFonts w:ascii="Times New Roman" w:hAnsi="Times New Roman"/>
          <w:sz w:val="24"/>
          <w:szCs w:val="24"/>
        </w:rPr>
        <w:t>черты,</w:t>
      </w:r>
      <w:r w:rsidR="00B24C9A" w:rsidRPr="009226DF">
        <w:rPr>
          <w:rFonts w:ascii="Times New Roman" w:hAnsi="Times New Roman"/>
          <w:sz w:val="24"/>
          <w:szCs w:val="24"/>
        </w:rPr>
        <w:t xml:space="preserve"> </w:t>
      </w:r>
      <w:r w:rsidR="009226DF">
        <w:rPr>
          <w:rFonts w:ascii="Times New Roman" w:hAnsi="Times New Roman"/>
          <w:sz w:val="24"/>
          <w:szCs w:val="24"/>
        </w:rPr>
        <w:t xml:space="preserve">выполняющий </w:t>
      </w:r>
      <w:r w:rsidRPr="009226DF">
        <w:rPr>
          <w:rFonts w:ascii="Times New Roman" w:hAnsi="Times New Roman"/>
          <w:sz w:val="24"/>
          <w:szCs w:val="24"/>
        </w:rPr>
        <w:t xml:space="preserve">преимущественно санитарно-гигиенические, оздоровительные и рекреационные функции. </w:t>
      </w:r>
    </w:p>
    <w:p w:rsidR="00D12627" w:rsidRPr="009226DF" w:rsidRDefault="00C77A59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Земельный кодекс Российской Федерации (стать</w:t>
      </w:r>
      <w:r w:rsidR="00E35A27" w:rsidRPr="009226DF">
        <w:rPr>
          <w:rFonts w:ascii="Times New Roman" w:hAnsi="Times New Roman"/>
          <w:sz w:val="24"/>
          <w:szCs w:val="24"/>
        </w:rPr>
        <w:t>я 85,</w:t>
      </w:r>
      <w:r w:rsidRPr="009226DF">
        <w:rPr>
          <w:rFonts w:ascii="Times New Roman" w:hAnsi="Times New Roman"/>
          <w:sz w:val="24"/>
          <w:szCs w:val="24"/>
        </w:rPr>
        <w:t xml:space="preserve"> часть 9) относит городские леса к землям населенных пунктов и учитывает их в составе рекреационных зон. Земельные участки, занятые городскими лесами, используются для отдыха граждан и туризма. </w:t>
      </w:r>
    </w:p>
    <w:p w:rsidR="00C77A59" w:rsidRPr="009226DF" w:rsidRDefault="00C77A59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В соответствии с Федеральным законом от 27 декабря 2018 г. №</w:t>
      </w:r>
      <w:r w:rsidR="00B07324" w:rsidRPr="009226DF">
        <w:rPr>
          <w:rFonts w:ascii="Times New Roman" w:hAnsi="Times New Roman"/>
          <w:sz w:val="24"/>
          <w:szCs w:val="24"/>
        </w:rPr>
        <w:t xml:space="preserve"> </w:t>
      </w:r>
      <w:r w:rsidRPr="009226DF">
        <w:rPr>
          <w:rFonts w:ascii="Times New Roman" w:hAnsi="Times New Roman"/>
          <w:sz w:val="24"/>
          <w:szCs w:val="24"/>
        </w:rPr>
        <w:t xml:space="preserve">538-ФЗ и со статьей 111 Лесного кодекса, городские леса по целевому назначению отнесены к защитным лесам. Правовой режим городских лесов регулируется статьей 116 Лесного кодекса. </w:t>
      </w:r>
    </w:p>
    <w:p w:rsidR="00D12627" w:rsidRPr="009226DF" w:rsidRDefault="00C77A59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Основными задачами органа управления городскими лесами являются:</w:t>
      </w:r>
    </w:p>
    <w:p w:rsidR="00C77A59" w:rsidRPr="009226DF" w:rsidRDefault="00C77A59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- сохранение и усиление средообразующих, водоохранных, защитных, санитарно-гигиенических и других полезных свойств леса в интересах здоровья человека;</w:t>
      </w:r>
    </w:p>
    <w:p w:rsidR="00C77A59" w:rsidRPr="009226DF" w:rsidRDefault="00C77A59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- многоцелевое, непрерывное, неистощительное пользование лесным фондом для удовлетворения потребностей общества и отдельных граждан в древесине и других лесных ресурсах;</w:t>
      </w:r>
    </w:p>
    <w:p w:rsidR="00C77A59" w:rsidRPr="009226DF" w:rsidRDefault="00C77A59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- воспроизводство, улучшение породного состава и качества лесов, повышение их продуктивности, охрану и защиту;</w:t>
      </w:r>
    </w:p>
    <w:p w:rsidR="00C77A59" w:rsidRPr="009226DF" w:rsidRDefault="00C77A59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- рациональное использование земель лесного фонда;</w:t>
      </w:r>
    </w:p>
    <w:p w:rsidR="00C77A59" w:rsidRPr="009226DF" w:rsidRDefault="00C77A59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- повышение эффективности ведения лесного хозяйства на основе единой технической политики, использование достижений науки, техники и передового опыта;</w:t>
      </w:r>
    </w:p>
    <w:p w:rsidR="00C77A59" w:rsidRPr="009226DF" w:rsidRDefault="00407275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lastRenderedPageBreak/>
        <w:t xml:space="preserve">- сохранение биологического разнообразия, объектов историко-культурного и природного наследия. </w:t>
      </w:r>
    </w:p>
    <w:p w:rsidR="00407275" w:rsidRPr="009226DF" w:rsidRDefault="006E2B41" w:rsidP="00407275">
      <w:pPr>
        <w:spacing w:before="240"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226DF">
        <w:rPr>
          <w:rFonts w:ascii="Times New Roman" w:hAnsi="Times New Roman"/>
          <w:b/>
          <w:sz w:val="24"/>
          <w:szCs w:val="24"/>
        </w:rPr>
        <w:t xml:space="preserve">1.2. </w:t>
      </w:r>
      <w:r w:rsidR="00407275" w:rsidRPr="009226DF">
        <w:rPr>
          <w:rFonts w:ascii="Times New Roman" w:hAnsi="Times New Roman"/>
          <w:b/>
          <w:sz w:val="24"/>
          <w:szCs w:val="24"/>
        </w:rPr>
        <w:t xml:space="preserve">Основание </w:t>
      </w:r>
      <w:r w:rsidRPr="009226DF">
        <w:rPr>
          <w:rFonts w:ascii="Times New Roman" w:hAnsi="Times New Roman"/>
          <w:b/>
          <w:sz w:val="24"/>
          <w:szCs w:val="24"/>
        </w:rPr>
        <w:t xml:space="preserve">для внесения изменений в лесохозяйственный регламент </w:t>
      </w:r>
    </w:p>
    <w:p w:rsidR="00407275" w:rsidRPr="009226DF" w:rsidRDefault="00407275" w:rsidP="00407275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E2B41" w:rsidRPr="009226DF" w:rsidRDefault="006E2B41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 xml:space="preserve">Основанием для проведения работ является муниципальный контракт от 02.05.2024 г. № 119/СМП/ЗК-2024 на оказание услуг по внесению изменений в  лесохозяйственный регламент и лесоустроительную документацию Печорского городского лесничества, заключенный между Администрацией муниципального района «Печора», в лице заместителя руководителя администрации Коковкина  Ивана Александровича с одной стороны, и обществом с ограниченной ответственностью «ЗЕМЛЯ», в лице директора Афанасьева Семена Валериановича, с другой стороны, в соответствии с законодательством Российской Федерации и иными нормативными правовыми актами о контрактной системе в сфере закупок. </w:t>
      </w:r>
    </w:p>
    <w:p w:rsidR="00407275" w:rsidRPr="009226DF" w:rsidRDefault="00407275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 xml:space="preserve">Объектом лесоустроительных работ являлись лесные участки, расположенные на территории муниципального образования городского поселения «Печора» Республики Коми. </w:t>
      </w:r>
    </w:p>
    <w:p w:rsidR="0013425C" w:rsidRPr="009226DF" w:rsidRDefault="0013425C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226DF">
        <w:rPr>
          <w:rFonts w:ascii="Times New Roman" w:hAnsi="Times New Roman"/>
          <w:sz w:val="24"/>
          <w:szCs w:val="24"/>
        </w:rPr>
        <w:t>На основании приказа Рослесхоза от 19.03.2021 № 223 «О создании лесничества на землях населенных пунктов муниципального района Печора Республики Коми, занятых городскими лесами, и установлении их границ» утверждены границы Печорского городского лесничества, общей площадью 357,0437 га (таблица 1).</w:t>
      </w:r>
    </w:p>
    <w:p w:rsidR="00407275" w:rsidRPr="009226DF" w:rsidRDefault="00407275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7275" w:rsidRPr="009226DF" w:rsidRDefault="009226DF" w:rsidP="00407275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303"/>
        <w:gridCol w:w="4142"/>
        <w:gridCol w:w="2024"/>
      </w:tblGrid>
      <w:tr w:rsidR="006E2B41" w:rsidRPr="009226DF" w:rsidTr="005D670C">
        <w:trPr>
          <w:trHeight w:val="20"/>
          <w:jc w:val="center"/>
        </w:trPr>
        <w:tc>
          <w:tcPr>
            <w:tcW w:w="1744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Наименование участковых лесничеств</w:t>
            </w:r>
          </w:p>
        </w:tc>
        <w:tc>
          <w:tcPr>
            <w:tcW w:w="2187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Номера лесных кварталов</w:t>
            </w:r>
          </w:p>
        </w:tc>
        <w:tc>
          <w:tcPr>
            <w:tcW w:w="1069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Общая площадь, га</w:t>
            </w:r>
          </w:p>
        </w:tc>
      </w:tr>
      <w:tr w:rsidR="006E2B41" w:rsidRPr="009226DF" w:rsidTr="005D670C">
        <w:trPr>
          <w:trHeight w:val="20"/>
          <w:jc w:val="center"/>
        </w:trPr>
        <w:tc>
          <w:tcPr>
            <w:tcW w:w="1744" w:type="pct"/>
            <w:vMerge w:val="restar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Печорское городское лесничество</w:t>
            </w:r>
          </w:p>
        </w:tc>
        <w:tc>
          <w:tcPr>
            <w:tcW w:w="2187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1</w:t>
            </w:r>
          </w:p>
        </w:tc>
        <w:tc>
          <w:tcPr>
            <w:tcW w:w="1069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46,2745</w:t>
            </w:r>
          </w:p>
        </w:tc>
      </w:tr>
      <w:tr w:rsidR="006E2B41" w:rsidRPr="009226DF" w:rsidTr="005D670C">
        <w:trPr>
          <w:trHeight w:val="20"/>
          <w:jc w:val="center"/>
        </w:trPr>
        <w:tc>
          <w:tcPr>
            <w:tcW w:w="1744" w:type="pct"/>
            <w:vMerge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2</w:t>
            </w:r>
          </w:p>
        </w:tc>
        <w:tc>
          <w:tcPr>
            <w:tcW w:w="1069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42,5276</w:t>
            </w:r>
          </w:p>
        </w:tc>
      </w:tr>
      <w:tr w:rsidR="006E2B41" w:rsidRPr="009226DF" w:rsidTr="005D670C">
        <w:trPr>
          <w:trHeight w:val="20"/>
          <w:jc w:val="center"/>
        </w:trPr>
        <w:tc>
          <w:tcPr>
            <w:tcW w:w="1744" w:type="pct"/>
            <w:vMerge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4</w:t>
            </w:r>
          </w:p>
        </w:tc>
        <w:tc>
          <w:tcPr>
            <w:tcW w:w="1069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9,3475</w:t>
            </w:r>
          </w:p>
        </w:tc>
      </w:tr>
      <w:tr w:rsidR="006E2B41" w:rsidRPr="009226DF" w:rsidTr="005D670C">
        <w:trPr>
          <w:trHeight w:val="20"/>
          <w:jc w:val="center"/>
        </w:trPr>
        <w:tc>
          <w:tcPr>
            <w:tcW w:w="1744" w:type="pct"/>
            <w:vMerge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5</w:t>
            </w:r>
          </w:p>
        </w:tc>
        <w:tc>
          <w:tcPr>
            <w:tcW w:w="1069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36,2992</w:t>
            </w:r>
          </w:p>
        </w:tc>
      </w:tr>
      <w:tr w:rsidR="006E2B41" w:rsidRPr="009226DF" w:rsidTr="005D670C">
        <w:trPr>
          <w:trHeight w:val="20"/>
          <w:jc w:val="center"/>
        </w:trPr>
        <w:tc>
          <w:tcPr>
            <w:tcW w:w="1744" w:type="pct"/>
            <w:vMerge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6</w:t>
            </w:r>
          </w:p>
        </w:tc>
        <w:tc>
          <w:tcPr>
            <w:tcW w:w="1069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29,023</w:t>
            </w:r>
          </w:p>
        </w:tc>
      </w:tr>
      <w:tr w:rsidR="006E2B41" w:rsidRPr="009226DF" w:rsidTr="005D670C">
        <w:trPr>
          <w:trHeight w:val="20"/>
          <w:jc w:val="center"/>
        </w:trPr>
        <w:tc>
          <w:tcPr>
            <w:tcW w:w="1744" w:type="pct"/>
            <w:vMerge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7</w:t>
            </w:r>
          </w:p>
        </w:tc>
        <w:tc>
          <w:tcPr>
            <w:tcW w:w="1069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16,8199</w:t>
            </w:r>
          </w:p>
        </w:tc>
      </w:tr>
      <w:tr w:rsidR="006E2B41" w:rsidRPr="009226DF" w:rsidTr="005D670C">
        <w:trPr>
          <w:trHeight w:val="20"/>
          <w:jc w:val="center"/>
        </w:trPr>
        <w:tc>
          <w:tcPr>
            <w:tcW w:w="1744" w:type="pct"/>
            <w:vMerge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8</w:t>
            </w:r>
          </w:p>
        </w:tc>
        <w:tc>
          <w:tcPr>
            <w:tcW w:w="1069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94,2</w:t>
            </w:r>
          </w:p>
        </w:tc>
      </w:tr>
      <w:tr w:rsidR="006E2B41" w:rsidRPr="009226DF" w:rsidTr="005D670C">
        <w:trPr>
          <w:trHeight w:val="20"/>
          <w:jc w:val="center"/>
        </w:trPr>
        <w:tc>
          <w:tcPr>
            <w:tcW w:w="1744" w:type="pct"/>
            <w:vMerge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9</w:t>
            </w:r>
          </w:p>
        </w:tc>
        <w:tc>
          <w:tcPr>
            <w:tcW w:w="1069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82,552</w:t>
            </w:r>
          </w:p>
        </w:tc>
      </w:tr>
      <w:tr w:rsidR="006E2B41" w:rsidRPr="009226DF" w:rsidTr="005D670C">
        <w:trPr>
          <w:trHeight w:val="20"/>
          <w:jc w:val="center"/>
        </w:trPr>
        <w:tc>
          <w:tcPr>
            <w:tcW w:w="1744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ВСЕГО</w:t>
            </w:r>
          </w:p>
        </w:tc>
        <w:tc>
          <w:tcPr>
            <w:tcW w:w="2187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pct"/>
            <w:vAlign w:val="center"/>
          </w:tcPr>
          <w:p w:rsidR="006E2B41" w:rsidRPr="009226DF" w:rsidRDefault="006E2B41" w:rsidP="005D670C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9226DF">
              <w:rPr>
                <w:sz w:val="20"/>
                <w:szCs w:val="20"/>
              </w:rPr>
              <w:t>357,0437</w:t>
            </w:r>
          </w:p>
        </w:tc>
      </w:tr>
    </w:tbl>
    <w:p w:rsidR="00407275" w:rsidRPr="009226DF" w:rsidRDefault="00407275" w:rsidP="002409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407275" w:rsidRPr="009226DF" w:rsidSect="00E35A27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2CA" w:rsidRDefault="008102CA" w:rsidP="00E35A27">
      <w:pPr>
        <w:spacing w:after="0" w:line="240" w:lineRule="auto"/>
      </w:pPr>
      <w:r>
        <w:separator/>
      </w:r>
    </w:p>
  </w:endnote>
  <w:endnote w:type="continuationSeparator" w:id="0">
    <w:p w:rsidR="008102CA" w:rsidRDefault="008102CA" w:rsidP="00E35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221335"/>
      <w:docPartObj>
        <w:docPartGallery w:val="Page Numbers (Bottom of Page)"/>
        <w:docPartUnique/>
      </w:docPartObj>
    </w:sdtPr>
    <w:sdtEndPr/>
    <w:sdtContent>
      <w:p w:rsidR="00E35A27" w:rsidRDefault="00E35A2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DFF">
          <w:rPr>
            <w:noProof/>
          </w:rPr>
          <w:t>2</w:t>
        </w:r>
        <w:r>
          <w:fldChar w:fldCharType="end"/>
        </w:r>
      </w:p>
    </w:sdtContent>
  </w:sdt>
  <w:p w:rsidR="00E35A27" w:rsidRDefault="00E35A2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2CA" w:rsidRDefault="008102CA" w:rsidP="00E35A27">
      <w:pPr>
        <w:spacing w:after="0" w:line="240" w:lineRule="auto"/>
      </w:pPr>
      <w:r>
        <w:separator/>
      </w:r>
    </w:p>
  </w:footnote>
  <w:footnote w:type="continuationSeparator" w:id="0">
    <w:p w:rsidR="008102CA" w:rsidRDefault="008102CA" w:rsidP="00E35A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DE5"/>
    <w:rsid w:val="0013425C"/>
    <w:rsid w:val="00240909"/>
    <w:rsid w:val="003B2D58"/>
    <w:rsid w:val="00407275"/>
    <w:rsid w:val="00631DE5"/>
    <w:rsid w:val="0068281F"/>
    <w:rsid w:val="006E2B41"/>
    <w:rsid w:val="007662FE"/>
    <w:rsid w:val="008102CA"/>
    <w:rsid w:val="009226DF"/>
    <w:rsid w:val="00A46DFF"/>
    <w:rsid w:val="00A830CC"/>
    <w:rsid w:val="00B07324"/>
    <w:rsid w:val="00B24C9A"/>
    <w:rsid w:val="00BB6F69"/>
    <w:rsid w:val="00C77A59"/>
    <w:rsid w:val="00D12627"/>
    <w:rsid w:val="00E3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0B96FF-E26A-4993-81AF-96BE4256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90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7275"/>
    <w:pPr>
      <w:keepNext/>
      <w:keepLines/>
      <w:spacing w:before="12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7275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 Знак"/>
    <w:basedOn w:val="a"/>
    <w:link w:val="a4"/>
    <w:rsid w:val="00240909"/>
    <w:pPr>
      <w:spacing w:after="0" w:line="240" w:lineRule="auto"/>
    </w:pPr>
    <w:rPr>
      <w:rFonts w:ascii="Courier New" w:hAnsi="Courier New" w:cs="Arial CYR"/>
      <w:sz w:val="20"/>
      <w:szCs w:val="20"/>
    </w:rPr>
  </w:style>
  <w:style w:type="character" w:customStyle="1" w:styleId="a4">
    <w:name w:val="Текст Знак"/>
    <w:aliases w:val=" Знак Знак"/>
    <w:basedOn w:val="a0"/>
    <w:link w:val="a3"/>
    <w:rsid w:val="00240909"/>
    <w:rPr>
      <w:rFonts w:ascii="Courier New" w:eastAsia="Times New Roman" w:hAnsi="Courier New" w:cs="Arial CYR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7275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7275"/>
    <w:rPr>
      <w:rFonts w:ascii="Times New Roman" w:eastAsiaTheme="majorEastAsia" w:hAnsi="Times New Roman" w:cstheme="majorBidi"/>
      <w:b/>
      <w:bCs/>
      <w:sz w:val="26"/>
      <w:szCs w:val="26"/>
      <w:lang w:eastAsia="ru-RU"/>
    </w:rPr>
  </w:style>
  <w:style w:type="table" w:styleId="a5">
    <w:name w:val="Table Grid"/>
    <w:basedOn w:val="a1"/>
    <w:uiPriority w:val="59"/>
    <w:rsid w:val="00407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35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5A27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35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5A27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qFormat/>
    <w:rsid w:val="006E2B4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Лес26</cp:lastModifiedBy>
  <cp:revision>7</cp:revision>
  <dcterms:created xsi:type="dcterms:W3CDTF">2024-06-17T07:02:00Z</dcterms:created>
  <dcterms:modified xsi:type="dcterms:W3CDTF">2024-06-19T09:51:00Z</dcterms:modified>
</cp:coreProperties>
</file>